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0"/>
        <w:gridCol w:w="1998"/>
        <w:gridCol w:w="2671"/>
        <w:gridCol w:w="5113"/>
        <w:gridCol w:w="1758"/>
        <w:gridCol w:w="2134"/>
      </w:tblGrid>
      <w:tr w:rsidR="000D114A" w:rsidRPr="007B2C75" w:rsidTr="00C1005D">
        <w:trPr>
          <w:trHeight w:val="567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0D114A" w:rsidRPr="007B2C75" w:rsidRDefault="000D114A" w:rsidP="00C1005D">
            <w:pPr>
              <w:pStyle w:val="Default"/>
              <w:spacing w:before="160" w:after="160" w:line="23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B2C75">
              <w:rPr>
                <w:b/>
                <w:color w:val="000000" w:themeColor="text1"/>
                <w:sz w:val="22"/>
                <w:szCs w:val="22"/>
              </w:rPr>
              <w:t>Lista wniosków o dofinansowanie ocenionych pozytywnie pod względem formalnym dla naboru nr RPLD.06.02.01-IZ.00-10-001/20</w:t>
            </w:r>
          </w:p>
          <w:p w:rsidR="000D114A" w:rsidRDefault="000D114A" w:rsidP="00C1005D">
            <w:pPr>
              <w:autoSpaceDE w:val="0"/>
              <w:autoSpaceDN w:val="0"/>
              <w:adjustRightInd w:val="0"/>
              <w:spacing w:before="160" w:line="23" w:lineRule="atLeast"/>
              <w:ind w:hanging="1"/>
              <w:jc w:val="center"/>
              <w:rPr>
                <w:rFonts w:ascii="Arial" w:hAnsi="Arial" w:cs="Arial"/>
                <w:b/>
              </w:rPr>
            </w:pPr>
            <w:r w:rsidRPr="007B2C75">
              <w:rPr>
                <w:rFonts w:ascii="Arial" w:hAnsi="Arial" w:cs="Arial"/>
                <w:b/>
                <w:color w:val="000000" w:themeColor="text1"/>
              </w:rPr>
              <w:t xml:space="preserve">w ramach </w:t>
            </w:r>
            <w:r w:rsidRPr="007B2C75">
              <w:rPr>
                <w:rFonts w:ascii="Arial" w:hAnsi="Arial" w:cs="Arial"/>
                <w:b/>
                <w:color w:val="000000"/>
              </w:rPr>
              <w:t xml:space="preserve">Osi priorytetowej </w:t>
            </w:r>
            <w:r w:rsidRPr="007B2C75">
              <w:rPr>
                <w:rFonts w:ascii="Arial" w:hAnsi="Arial" w:cs="Arial"/>
                <w:b/>
              </w:rPr>
              <w:t xml:space="preserve">VI </w:t>
            </w:r>
            <w:r w:rsidRPr="007B2C75">
              <w:rPr>
                <w:rFonts w:ascii="Arial" w:hAnsi="Arial" w:cs="Arial"/>
                <w:b/>
                <w:i/>
              </w:rPr>
              <w:t>Rewitalizacja i potencjał endogeniczny regionu</w:t>
            </w:r>
            <w:r w:rsidRPr="007B2C75">
              <w:rPr>
                <w:rFonts w:ascii="Arial" w:hAnsi="Arial" w:cs="Arial"/>
                <w:b/>
              </w:rPr>
              <w:t xml:space="preserve">, </w:t>
            </w:r>
          </w:p>
          <w:p w:rsidR="000D114A" w:rsidRPr="007B2C75" w:rsidRDefault="000D114A" w:rsidP="00C1005D">
            <w:pPr>
              <w:autoSpaceDE w:val="0"/>
              <w:autoSpaceDN w:val="0"/>
              <w:adjustRightInd w:val="0"/>
              <w:spacing w:before="160" w:line="23" w:lineRule="atLeast"/>
              <w:ind w:hanging="1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7B2C75">
              <w:rPr>
                <w:rFonts w:ascii="Arial" w:hAnsi="Arial" w:cs="Arial"/>
                <w:b/>
              </w:rPr>
              <w:t>Działania VI.2</w:t>
            </w:r>
            <w:r w:rsidRPr="007B2C75">
              <w:rPr>
                <w:rFonts w:ascii="Arial" w:hAnsi="Arial" w:cs="Arial"/>
                <w:b/>
                <w:i/>
              </w:rPr>
              <w:t xml:space="preserve"> Rozwój gospodarki turystycznej</w:t>
            </w:r>
            <w:r w:rsidRPr="007B2C75">
              <w:rPr>
                <w:rFonts w:ascii="Arial" w:hAnsi="Arial" w:cs="Arial"/>
                <w:b/>
              </w:rPr>
              <w:t>, Poddziałania VI.2.1</w:t>
            </w:r>
            <w:r w:rsidRPr="007B2C75">
              <w:rPr>
                <w:rFonts w:ascii="Arial" w:hAnsi="Arial" w:cs="Arial"/>
                <w:b/>
                <w:i/>
              </w:rPr>
              <w:t xml:space="preserve"> Rozwój gospodarki turystycznej</w:t>
            </w:r>
          </w:p>
        </w:tc>
      </w:tr>
      <w:tr w:rsidR="000D114A" w:rsidRPr="007B2C75" w:rsidTr="00C1005D">
        <w:trPr>
          <w:trHeight w:val="567"/>
        </w:trPr>
        <w:tc>
          <w:tcPr>
            <w:tcW w:w="177" w:type="pct"/>
            <w:shd w:val="clear" w:color="auto" w:fill="auto"/>
            <w:vAlign w:val="center"/>
            <w:hideMark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7B2C75">
              <w:rPr>
                <w:rFonts w:ascii="Arial" w:hAnsi="Arial" w:cs="Arial"/>
                <w:b/>
                <w:bCs/>
                <w:color w:val="000000"/>
                <w:szCs w:val="20"/>
              </w:rPr>
              <w:t>Lp.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7B2C75">
              <w:rPr>
                <w:rFonts w:ascii="Arial" w:hAnsi="Arial" w:cs="Arial"/>
                <w:b/>
                <w:bCs/>
                <w:color w:val="000000"/>
                <w:szCs w:val="20"/>
              </w:rPr>
              <w:t>Numer wniosku o dofinansowanie</w:t>
            </w:r>
          </w:p>
        </w:tc>
        <w:tc>
          <w:tcPr>
            <w:tcW w:w="817" w:type="pct"/>
            <w:shd w:val="clear" w:color="auto" w:fill="auto"/>
            <w:vAlign w:val="center"/>
            <w:hideMark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7B2C75">
              <w:rPr>
                <w:rFonts w:ascii="Arial" w:hAnsi="Arial" w:cs="Arial"/>
                <w:b/>
                <w:bCs/>
                <w:color w:val="000000"/>
                <w:szCs w:val="20"/>
              </w:rPr>
              <w:t>Nazwa wnioskodawcy</w:t>
            </w:r>
          </w:p>
        </w:tc>
        <w:tc>
          <w:tcPr>
            <w:tcW w:w="1871" w:type="pct"/>
            <w:shd w:val="clear" w:color="auto" w:fill="auto"/>
            <w:vAlign w:val="center"/>
            <w:hideMark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7B2C75">
              <w:rPr>
                <w:rFonts w:ascii="Arial" w:hAnsi="Arial" w:cs="Arial"/>
                <w:b/>
                <w:bCs/>
                <w:color w:val="000000"/>
                <w:szCs w:val="20"/>
              </w:rPr>
              <w:t>Tytuł projektu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7B2C75">
              <w:rPr>
                <w:rFonts w:ascii="Arial" w:hAnsi="Arial" w:cs="Arial"/>
                <w:b/>
                <w:bCs/>
                <w:color w:val="000000"/>
                <w:szCs w:val="20"/>
              </w:rPr>
              <w:t>Wartość projektu ogółem (w PLN)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Wnioskowana kwota dofinansowania </w:t>
            </w:r>
          </w:p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z UE (w PLN)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RPLD.06.02.01-10-0001/20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Gmina Daszyna</w:t>
            </w:r>
          </w:p>
        </w:tc>
        <w:tc>
          <w:tcPr>
            <w:tcW w:w="1871" w:type="pct"/>
            <w:shd w:val="clear" w:color="auto" w:fill="auto"/>
            <w:vAlign w:val="center"/>
          </w:tcPr>
          <w:p w:rsidR="000D114A" w:rsidRPr="007B2C75" w:rsidRDefault="000D114A" w:rsidP="00C1005D">
            <w:pPr>
              <w:autoSpaceDE w:val="0"/>
              <w:autoSpaceDN w:val="0"/>
              <w:adjustRightInd w:val="0"/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Przystosowanie budynku Mazew 11 oraz części budynku Daszyna 40 do pełnienia funkcji turystycznych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1606864,60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1043550,70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2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RPLD.06.02.01-10-0002/20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Gmina Opoczno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Opoczno-Zalew pełen energii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3104847,74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1869800,50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3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RPLD.06.02.01-10-0003/20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Gmina Uniejów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Utworzenie interaktywnego punktu turystyki geotermalnej w Uniejowie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5270796,00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3355863,75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4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RPLD.06.02.01-10-0004/20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Yellow Bahama Spółka z ograniczoną odpowiedzialnością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Intensyfikacja rozwoju gospodarki turystycznej w Gminie Inowłódz i województwie łódzkim poprzez rozbudowę oferty Ośrodka Szkoleniowo-Wypoczynkowego w Inowłodzu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2542874,99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1255907,60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5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RPLD.06.02.01-10-0007/20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Miasto Łęczyca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Podniesienie atrakcyjności infrastruktury turystycznej miasta Łęczyca</w:t>
            </w:r>
            <w:bookmarkStart w:id="0" w:name="_GoBack"/>
            <w:bookmarkEnd w:id="0"/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1992805,95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1377142,33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6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</w:t>
            </w: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10-0009/20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 xml:space="preserve">MĄCZKA MARIUSZ </w:t>
            </w: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P.H.U. "PARTNER"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 xml:space="preserve">Rozwój gospodarki turystycznej województwa łódzkiego poprzez realizację inwestycji w </w:t>
            </w: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nowoczesną infrastrukturę agroturystyczną w Gminie Bolesławiec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lastRenderedPageBreak/>
              <w:t>1778904,72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1082008,20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lastRenderedPageBreak/>
              <w:t>7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RPLD.06.02.01-10-0010/20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Piotr Łuczak - P.H.U. "MACIEJ"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Eco Bee Innovation – rozwój gospodarki turystycznej poprzez budowę obiektu wypoczynkowo – rekreacyjnego w Uniejowie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8842470,00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4010650,00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8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RPLD.06.02.01-10-0011/20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Przedsiębiorstwo Gospodarki Komunalnej „Termy Uniejów” Sp. z o.o. w Uniejowie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Wykorzystanie potencjału turystyczno-rekreacyjnego gminy Uniejów poprzez rozbudowę basenów termalnych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11258313,00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7216075,00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9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RPLD.06.02.01-10-0012/20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Agencja Wydarzeń Artystycznych „Pro Cinema” ”Kino Charlie” Sławomir Fijałkowski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Przebudowa Kina Charlie w Łodzi na potrzeby promocji dziedzictwa filmowego Łodzi i regionu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1224403,50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846132,50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10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RPLD.06.02.01-10-0013/20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Gmina Warta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Zagospodarowanie terenu przy ul. Tarnowskiego w Warcie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2388111,21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1650320,75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11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RPLD.06.02.01-10-0014/20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Turystyka Patyki Spółka z ograniczoną odpowiedzialnością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5409369,03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2695154,60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12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RPLD.06.02.01-10-0015/20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JUSTYNA KASIŃSKA Restauracja Bocianie Gniazdo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Bocianie Gniazdo - rozwój turystyki jednodniowej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567423,60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392093,10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lastRenderedPageBreak/>
              <w:t>13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RPLD.06.02.01-10-0016/20</w:t>
            </w:r>
          </w:p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MARCIN SUCHODOLSKI MSLINE</w:t>
            </w:r>
          </w:p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Szlakami ogrodnictwa województwa łódzkiego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1406234,60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 xml:space="preserve">927967,00 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14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RPLD.06.02.01-10-0017/20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PRD INWESTYCJE SPÓŁKA Z OGRANICZONĄ ODPOWIEDZIALNOŚCIĄ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Rozwój gospodarki turystycznej poprzez budowę obiektu hotelowego w celu wprowadzenia innowacyjnych usług turystycznych wykorzystujących potencjał endogeniczny Gminy Poddębice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13103657,40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3740640,84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15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RPLD.06.02.01-10-0019/20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Gmina Kutno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Budowa infrastruktury edukacyjno-turystycznej w  Nadleśnictwie Kutno Las Raciborów, Gmina Kutno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505951,58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246368,57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16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RPLD.06.02.01-10-0024/20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ZAKŁAD UTRZYMANIA MIASTA SP Z O. O.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Rozbudowa infrastruktury turystycznej Grabskiego Sioła szansą rozwoju turystyki w północno-wschodniej części województwa łódzkiego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1753359,05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829053,11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17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RPLD.06.02.01-10-0025/20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Gmina Rawa Mazowiecka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Szlakiem Dziedzictwa Gminy Rawa Mazowiecka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3303234,80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2256681,30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18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RPLD.06.02.01-10-0027/20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BMH Bolesław Mostowski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Rozbudowa obiektu hotelowego w celu wprowadzenia nowych usług turystycznych wykorzystujących potencjał endogeniczny doliny rzeki Bzury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6144905,64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2995070,41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19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RPLD.06.02.01-10-0028/20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Sieradzkie Kruszywa Mineralne Sp. z.o.o.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Budowa 10 domów letniskowych wraz z zapleczem rekreacyjno-turystycznym w Ostrowie Warckim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9132258,00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4112330,00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20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</w:t>
            </w: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10-0029/20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Gmina Inowłódz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 xml:space="preserve">Zagospodarowanie terenu na błoniach </w:t>
            </w: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nadpilicznych w Inowłodzu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lastRenderedPageBreak/>
              <w:t>5432890,63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3754436,61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lastRenderedPageBreak/>
              <w:t>21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RPLD.06.02.01-10-0030/20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SUPERFALA Spółka z ograniczoną odpowiedzialnością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Rozbudowa obiektu turystycznego Hotelu SUPERFALA w Ostrowie Warckim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8432388,00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3135420,00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22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FF0000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RPLD.06.02.01-10-0031/20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Drama Invest Spółka z ograniczoną odpowiedzialnością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„Błękitna ostoja” – budowa nowego obiektu noclegowego złożonego z 3 domków na wodzie typu houseboat oraz 2 domków rekreacyjnych, wraz z niezbędną infrastrukturą towarzyszącą na terenie Sulejowskiego Parku Krajobrazowego.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1320688,17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857231,80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23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RPLD.06.02.01-10-0032/20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Hotel Prezydent sp. z o.o.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Rozwój gospodarki turystycznej poprzez rozbudowę infrastruktury hotelowej i rekreacyjnej dla Hotelu Prezydent w Spale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30043602,30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4400000,01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24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RPLD.06.02.01-10-0033/20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„KŁOS” sp. z o.o.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Akademia Rekreacji, Edukacji i Sportu (ARES)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3159531,65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1317238,73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25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RPLD.06.02.01-10-0034/20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Gmina Koluszki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Rozwój gospodarki turystycznej w miejscowości Lisowice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10034073,69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6373929,72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26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RPLD.06.02.01-10-0036/20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Gmina Miasto Zgierz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Rozwój potencjału turystycznego Gminy Miasto Zgierz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2689251,85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 xml:space="preserve"> 1836142,26   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27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RPLD.06.02.01-10-0037/20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Miasto Radomsko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Podniesienie atrakcyjności turystycznej Miasta Radomska poprzez stworzenie przestrzeni rekreacyjno-wypoczynkowej "Glinianki"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13175170,58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 xml:space="preserve"> 7178686,92   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t>28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</w:t>
            </w: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10-0040/20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NEST Racing Sp. z o.o.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Budowa Ośrodka Sportu i Rekreacji NEST Racing</w:t>
            </w:r>
          </w:p>
        </w:tc>
        <w:tc>
          <w:tcPr>
            <w:tcW w:w="647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6437820,00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4085900,00</w:t>
            </w:r>
          </w:p>
        </w:tc>
      </w:tr>
      <w:tr w:rsidR="000D114A" w:rsidRPr="004123E5" w:rsidTr="00C1005D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/>
                <w:szCs w:val="20"/>
              </w:rPr>
            </w:pPr>
            <w:r w:rsidRPr="007B2C75">
              <w:rPr>
                <w:rFonts w:ascii="Arial" w:hAnsi="Arial" w:cs="Arial"/>
                <w:color w:val="000000"/>
                <w:szCs w:val="20"/>
              </w:rPr>
              <w:lastRenderedPageBreak/>
              <w:t>29</w:t>
            </w:r>
          </w:p>
        </w:tc>
        <w:tc>
          <w:tcPr>
            <w:tcW w:w="708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RPLD.06.02.01-10-0041/20</w:t>
            </w:r>
          </w:p>
        </w:tc>
        <w:tc>
          <w:tcPr>
            <w:tcW w:w="817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KATAMARAN ROBERT I SŁAWOMIR MUCHA SP.J.</w:t>
            </w:r>
          </w:p>
        </w:tc>
        <w:tc>
          <w:tcPr>
            <w:tcW w:w="1871" w:type="pct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color w:val="000000" w:themeColor="text1"/>
                <w:szCs w:val="20"/>
              </w:rPr>
            </w:pPr>
            <w:r w:rsidRPr="007B2C75">
              <w:rPr>
                <w:rFonts w:ascii="Arial" w:hAnsi="Arial" w:cs="Arial"/>
                <w:color w:val="000000" w:themeColor="text1"/>
                <w:szCs w:val="20"/>
              </w:rPr>
              <w:t>Centrum e-Sportu i Symulacji VR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5304990,00</w:t>
            </w:r>
          </w:p>
        </w:tc>
        <w:tc>
          <w:tcPr>
            <w:tcW w:w="776" w:type="pct"/>
            <w:noWrap/>
            <w:vAlign w:val="center"/>
          </w:tcPr>
          <w:p w:rsidR="000D114A" w:rsidRPr="004123E5" w:rsidRDefault="000D114A" w:rsidP="00C1005D">
            <w:pPr>
              <w:tabs>
                <w:tab w:val="left" w:pos="708"/>
              </w:tabs>
              <w:spacing w:before="160" w:line="23" w:lineRule="atLeast"/>
              <w:jc w:val="right"/>
              <w:rPr>
                <w:rFonts w:ascii="Arial" w:hAnsi="Arial" w:cs="Arial"/>
                <w:color w:val="000000" w:themeColor="text1"/>
                <w:spacing w:val="20"/>
                <w:szCs w:val="20"/>
              </w:rPr>
            </w:pPr>
            <w:r w:rsidRPr="004123E5">
              <w:rPr>
                <w:rFonts w:ascii="Arial" w:hAnsi="Arial" w:cs="Arial"/>
                <w:color w:val="000000" w:themeColor="text1"/>
                <w:spacing w:val="20"/>
                <w:szCs w:val="20"/>
              </w:rPr>
              <w:t>3424000,00</w:t>
            </w:r>
          </w:p>
        </w:tc>
      </w:tr>
      <w:tr w:rsidR="000D114A" w:rsidRPr="007B2C75" w:rsidTr="00C1005D">
        <w:trPr>
          <w:trHeight w:val="567"/>
        </w:trPr>
        <w:tc>
          <w:tcPr>
            <w:tcW w:w="4220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114A" w:rsidRPr="007B2C75" w:rsidRDefault="000D114A" w:rsidP="00C1005D">
            <w:pPr>
              <w:spacing w:before="160" w:line="23" w:lineRule="atLeast"/>
              <w:rPr>
                <w:rFonts w:ascii="Arial" w:hAnsi="Arial" w:cs="Arial"/>
                <w:b/>
                <w:color w:val="FF0000"/>
                <w:szCs w:val="20"/>
                <w:highlight w:val="yellow"/>
              </w:rPr>
            </w:pPr>
            <w:r w:rsidRPr="007B2C75">
              <w:rPr>
                <w:rFonts w:ascii="Arial" w:hAnsi="Arial" w:cs="Arial"/>
                <w:b/>
                <w:color w:val="000000" w:themeColor="text1"/>
                <w:szCs w:val="20"/>
              </w:rPr>
              <w:t>RAZEM</w:t>
            </w:r>
          </w:p>
        </w:tc>
        <w:tc>
          <w:tcPr>
            <w:tcW w:w="776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D114A" w:rsidRPr="004123E5" w:rsidRDefault="000D114A" w:rsidP="00C1005D">
            <w:pPr>
              <w:spacing w:before="160" w:line="23" w:lineRule="atLeast"/>
              <w:jc w:val="right"/>
              <w:rPr>
                <w:rFonts w:ascii="Arial" w:hAnsi="Arial" w:cs="Arial"/>
                <w:b/>
                <w:color w:val="FF0000"/>
                <w:spacing w:val="20"/>
                <w:szCs w:val="20"/>
                <w:highlight w:val="yellow"/>
              </w:rPr>
            </w:pPr>
            <w:r w:rsidRPr="004123E5">
              <w:rPr>
                <w:rFonts w:ascii="Arial" w:hAnsi="Arial" w:cs="Arial"/>
                <w:b/>
                <w:color w:val="000000" w:themeColor="text1"/>
                <w:spacing w:val="20"/>
                <w:szCs w:val="20"/>
              </w:rPr>
              <w:t xml:space="preserve">78265796,31   </w:t>
            </w:r>
          </w:p>
        </w:tc>
      </w:tr>
    </w:tbl>
    <w:p w:rsidR="00B83C9A" w:rsidRDefault="00B83C9A"/>
    <w:sectPr w:rsidR="00B83C9A" w:rsidSect="000D114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4A" w:rsidRDefault="00FE694A" w:rsidP="000D114A">
      <w:pPr>
        <w:spacing w:after="0" w:line="240" w:lineRule="auto"/>
      </w:pPr>
      <w:r>
        <w:separator/>
      </w:r>
    </w:p>
  </w:endnote>
  <w:endnote w:type="continuationSeparator" w:id="0">
    <w:p w:rsidR="00FE694A" w:rsidRDefault="00FE694A" w:rsidP="000D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4A" w:rsidRDefault="00FE694A" w:rsidP="000D114A">
      <w:pPr>
        <w:spacing w:after="0" w:line="240" w:lineRule="auto"/>
      </w:pPr>
      <w:r>
        <w:separator/>
      </w:r>
    </w:p>
  </w:footnote>
  <w:footnote w:type="continuationSeparator" w:id="0">
    <w:p w:rsidR="00FE694A" w:rsidRDefault="00FE694A" w:rsidP="000D1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4A" w:rsidRDefault="000D114A" w:rsidP="000D114A">
    <w:pPr>
      <w:pStyle w:val="Nagwek"/>
      <w:jc w:val="center"/>
    </w:pPr>
    <w:r w:rsidRPr="00772184">
      <w:rPr>
        <w:rFonts w:ascii="Arial" w:hAnsi="Arial" w:cs="Arial"/>
        <w:noProof/>
        <w:szCs w:val="20"/>
        <w:lang w:eastAsia="pl-PL"/>
      </w:rPr>
      <w:drawing>
        <wp:inline distT="0" distB="0" distL="0" distR="0">
          <wp:extent cx="5940425" cy="696481"/>
          <wp:effectExtent l="0" t="0" r="3175" b="8890"/>
          <wp:docPr id="3" name="Obraz 3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6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14A"/>
    <w:rsid w:val="000D114A"/>
    <w:rsid w:val="00AD2F34"/>
    <w:rsid w:val="00B83C9A"/>
    <w:rsid w:val="00BA30D5"/>
    <w:rsid w:val="00F8690E"/>
    <w:rsid w:val="00FE6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1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14A"/>
  </w:style>
  <w:style w:type="paragraph" w:styleId="Stopka">
    <w:name w:val="footer"/>
    <w:basedOn w:val="Normalny"/>
    <w:link w:val="StopkaZnak"/>
    <w:uiPriority w:val="99"/>
    <w:unhideWhenUsed/>
    <w:rsid w:val="000D1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14A"/>
  </w:style>
  <w:style w:type="paragraph" w:customStyle="1" w:styleId="Default">
    <w:name w:val="Default"/>
    <w:rsid w:val="000D1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67FA-3855-4A0A-9B3A-DB3F07B4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Szewczyk</dc:creator>
  <cp:lastModifiedBy>Maciej Kaleta</cp:lastModifiedBy>
  <cp:revision>2</cp:revision>
  <dcterms:created xsi:type="dcterms:W3CDTF">2021-02-11T13:14:00Z</dcterms:created>
  <dcterms:modified xsi:type="dcterms:W3CDTF">2021-02-11T13:14:00Z</dcterms:modified>
</cp:coreProperties>
</file>