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horzAnchor="margin" w:tblpXSpec="center" w:tblpY="-270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843"/>
        <w:gridCol w:w="3402"/>
        <w:gridCol w:w="1842"/>
        <w:gridCol w:w="1985"/>
        <w:gridCol w:w="1984"/>
      </w:tblGrid>
      <w:tr w:rsidR="00AE5612" w:rsidRPr="00AE5612" w:rsidTr="00CE1532">
        <w:trPr>
          <w:trHeight w:val="1123"/>
        </w:trPr>
        <w:tc>
          <w:tcPr>
            <w:tcW w:w="13608" w:type="dxa"/>
            <w:gridSpan w:val="7"/>
            <w:noWrap/>
            <w:vAlign w:val="bottom"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ind w:left="2619"/>
              <w:rPr>
                <w:lang w:eastAsia="en-US"/>
              </w:rPr>
            </w:pPr>
            <w:r w:rsidRPr="00AE5612">
              <w:br w:type="page"/>
            </w:r>
            <w:r w:rsidRPr="00AE5612">
              <w:rPr>
                <w:noProof/>
              </w:rPr>
              <w:drawing>
                <wp:inline distT="0" distB="0" distL="0" distR="0" wp14:anchorId="644973CC" wp14:editId="70EC3EEF">
                  <wp:extent cx="6167120" cy="690880"/>
                  <wp:effectExtent l="0" t="0" r="0" b="0"/>
                  <wp:docPr id="1" name="Obraz 1" descr="LOGOTYPY_KOLOROWY_EFRR_OD 1 STYCZNIA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Y_KOLOROWY_EFRR_OD 1 STYCZNIA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1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lang w:eastAsia="en-US"/>
              </w:rPr>
            </w:pPr>
          </w:p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lang w:eastAsia="en-US"/>
              </w:rPr>
            </w:pPr>
          </w:p>
          <w:p w:rsidR="00AE5612" w:rsidRPr="00AE5612" w:rsidRDefault="00AE5612" w:rsidP="00AE561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lang w:eastAsia="en-US"/>
              </w:rPr>
            </w:pPr>
          </w:p>
        </w:tc>
      </w:tr>
      <w:tr w:rsidR="00AE5612" w:rsidRPr="00AE5612" w:rsidTr="00CE1532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lang w:eastAsia="en-US"/>
              </w:rPr>
            </w:pPr>
            <w:r w:rsidRPr="00AE5612">
              <w:rPr>
                <w:rFonts w:cs="Arial"/>
                <w:b/>
                <w:lang w:eastAsia="en-US"/>
              </w:rPr>
              <w:t>Informacja o umowach o dofinansowanie projektów zawartych w maju 2022 r. w ramach Konkursu zamkniętego dla naboru nr RPLD.03.04.00-IZ.00-10-001/21 Oś Priorytetowa  III Transport  Działanie III.4 Transport kolejowy Regionalnego Programu Operacyjnego Województwa Łódzkiego na lata 2014-2020</w:t>
            </w:r>
          </w:p>
        </w:tc>
      </w:tr>
      <w:tr w:rsidR="00AE5612" w:rsidRPr="00AE5612" w:rsidTr="00AE5612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>Całkowita wartość projektu (PLN)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5612" w:rsidRPr="00AE5612" w:rsidRDefault="00AE5612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 w:rsidRPr="00AE5612"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AE5612" w:rsidRPr="00AE5612" w:rsidTr="00AE5612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rPr>
                <w:szCs w:val="20"/>
              </w:rPr>
            </w:pPr>
            <w:r w:rsidRPr="00AE5612">
              <w:rPr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jc w:val="center"/>
              <w:rPr>
                <w:szCs w:val="20"/>
              </w:rPr>
            </w:pPr>
            <w:r w:rsidRPr="00AE5612">
              <w:rPr>
                <w:szCs w:val="20"/>
              </w:rPr>
              <w:t>UDA-RPLD.03.04.00-10-0002/21-00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jc w:val="center"/>
              <w:rPr>
                <w:szCs w:val="20"/>
              </w:rPr>
            </w:pPr>
            <w:r w:rsidRPr="00AE5612">
              <w:rPr>
                <w:szCs w:val="20"/>
              </w:rPr>
              <w:t>Łódzka Kolej Aglomeracyjna</w:t>
            </w:r>
            <w:r w:rsidRPr="00AE5612">
              <w:rPr>
                <w:szCs w:val="20"/>
              </w:rPr>
              <w:t xml:space="preserve"> Sp. z o.o.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jc w:val="center"/>
              <w:rPr>
                <w:szCs w:val="20"/>
              </w:rPr>
            </w:pPr>
            <w:r w:rsidRPr="00AE5612">
              <w:rPr>
                <w:szCs w:val="20"/>
              </w:rPr>
              <w:t>Budowa Łódzkiej Kolei Aglomeracyjnej etap 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jc w:val="center"/>
              <w:rPr>
                <w:szCs w:val="20"/>
              </w:rPr>
            </w:pPr>
            <w:r w:rsidRPr="00AE5612">
              <w:rPr>
                <w:szCs w:val="20"/>
              </w:rPr>
              <w:t>6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jc w:val="center"/>
              <w:rPr>
                <w:szCs w:val="20"/>
              </w:rPr>
            </w:pPr>
            <w:r w:rsidRPr="00AE5612">
              <w:rPr>
                <w:szCs w:val="20"/>
              </w:rPr>
              <w:t>50 711 150,00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12" w:rsidRPr="00AE5612" w:rsidRDefault="00AE5612" w:rsidP="00AE5612">
            <w:pPr>
              <w:jc w:val="center"/>
              <w:rPr>
                <w:szCs w:val="20"/>
              </w:rPr>
            </w:pPr>
            <w:r w:rsidRPr="00AE5612">
              <w:rPr>
                <w:szCs w:val="20"/>
              </w:rPr>
              <w:t>31 463 616,00 zł</w:t>
            </w:r>
          </w:p>
        </w:tc>
      </w:tr>
      <w:tr w:rsidR="00AE5612" w:rsidRPr="00AE5612" w:rsidTr="00AE5612">
        <w:trPr>
          <w:trHeight w:val="98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5612" w:rsidRPr="00AE5612" w:rsidRDefault="00AE5612" w:rsidP="00AE561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lang w:eastAsia="en-US"/>
              </w:rPr>
            </w:pPr>
            <w:r w:rsidRPr="00AE5612">
              <w:rPr>
                <w:rFonts w:cs="Arial"/>
                <w:lang w:eastAsia="en-US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612" w:rsidRPr="00AE5612" w:rsidRDefault="00AE5612" w:rsidP="00AE5612">
            <w:pPr>
              <w:rPr>
                <w:rFonts w:ascii="Calibri" w:eastAsia="Times New Roman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E5612" w:rsidRPr="00AE5612" w:rsidRDefault="00AE5612" w:rsidP="00AE5612">
            <w:pPr>
              <w:spacing w:before="24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E5612">
              <w:rPr>
                <w:rFonts w:asciiTheme="minorHAnsi" w:hAnsiTheme="minorHAnsi" w:cstheme="minorHAnsi"/>
                <w:b/>
                <w:szCs w:val="20"/>
              </w:rPr>
              <w:t>50 711 150,00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E5612" w:rsidRPr="00AE5612" w:rsidRDefault="00AE5612" w:rsidP="00AE5612">
            <w:pPr>
              <w:spacing w:before="24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E5612">
              <w:rPr>
                <w:rFonts w:asciiTheme="minorHAnsi" w:hAnsiTheme="minorHAnsi" w:cstheme="minorHAnsi"/>
                <w:b/>
                <w:szCs w:val="20"/>
              </w:rPr>
              <w:t xml:space="preserve">31 463 616,00 zł </w:t>
            </w:r>
          </w:p>
        </w:tc>
      </w:tr>
    </w:tbl>
    <w:p w:rsidR="005E3D3A" w:rsidRDefault="005E3D3A">
      <w:bookmarkStart w:id="0" w:name="_GoBack"/>
      <w:bookmarkEnd w:id="0"/>
    </w:p>
    <w:sectPr w:rsidR="005E3D3A" w:rsidSect="00AE56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2"/>
    <w:rsid w:val="0010756B"/>
    <w:rsid w:val="003F6B51"/>
    <w:rsid w:val="005E3D3A"/>
    <w:rsid w:val="00A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7654D-D9C1-4DFD-A5E8-A938CFED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12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AE561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</cp:revision>
  <dcterms:created xsi:type="dcterms:W3CDTF">2022-06-08T10:51:00Z</dcterms:created>
  <dcterms:modified xsi:type="dcterms:W3CDTF">2022-06-08T10:57:00Z</dcterms:modified>
</cp:coreProperties>
</file>