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Pr="00CB2BC3" w:rsidRDefault="00896B7A" w:rsidP="00104324">
      <w:pPr>
        <w:tabs>
          <w:tab w:val="left" w:pos="12420"/>
        </w:tabs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lastRenderedPageBreak/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lastRenderedPageBreak/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82904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436"/>
        <w:gridCol w:w="113"/>
      </w:tblGrid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trHeight w:val="116"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C26FFE" w:rsidTr="00C26FFE">
        <w:trPr>
          <w:gridAfter w:val="1"/>
          <w:wAfter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C26FFE" w:rsidRPr="00A10F0C" w:rsidRDefault="00C26FFE" w:rsidP="00C26FFE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C3013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C26FFE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WYDATKI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C26FFE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081EB0"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C26FFE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W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 xml:space="preserve"> tym koszty bezpośrednie: 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26FFE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820E0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rzeczywiście ponoszonych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rozliczanych stawką ryczałtową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3182F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3182F" w:rsidRPr="00720434" w:rsidRDefault="00B3182F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B3182F">
              <w:rPr>
                <w:rFonts w:ascii="Arial Narrow" w:hAnsi="Arial Narrow" w:cs="Arial"/>
                <w:b/>
              </w:rPr>
              <w:t>Wydatki związane z przebudową infrastruktury technicznej kolidującej z inwestycją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3182F" w:rsidRPr="00720434" w:rsidRDefault="00B3182F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3182F" w:rsidRPr="00720434" w:rsidRDefault="00B3182F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F448D2" w:rsidRPr="00720434" w:rsidRDefault="00F448D2">
      <w:pPr>
        <w:rPr>
          <w:rFonts w:ascii="Arial Narrow" w:hAnsi="Arial Narrow" w:cs="Arial"/>
          <w:b/>
        </w:rPr>
      </w:pPr>
    </w:p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82904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2904">
              <w:rPr>
                <w:rFonts w:ascii="Arial Narrow" w:hAnsi="Arial Narrow" w:cs="Arial"/>
                <w:sz w:val="22"/>
                <w:szCs w:val="22"/>
              </w:rPr>
            </w:r>
            <w:r w:rsidR="00A8290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120A2E">
      <w:pPr>
        <w:pStyle w:val="NormalnyWeb"/>
        <w:numPr>
          <w:ilvl w:val="0"/>
          <w:numId w:val="24"/>
        </w:numPr>
        <w:spacing w:after="40"/>
        <w:ind w:left="70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120A2E">
      <w:pPr>
        <w:pStyle w:val="NormalnyWeb"/>
        <w:numPr>
          <w:ilvl w:val="0"/>
          <w:numId w:val="33"/>
        </w:numPr>
        <w:spacing w:before="0" w:beforeAutospacing="0" w:after="0"/>
        <w:ind w:left="284"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120A2E">
      <w:pPr>
        <w:pStyle w:val="NormalnyWeb"/>
        <w:numPr>
          <w:ilvl w:val="0"/>
          <w:numId w:val="33"/>
        </w:numPr>
        <w:tabs>
          <w:tab w:val="left" w:pos="851"/>
        </w:tabs>
        <w:spacing w:before="0" w:beforeAutospacing="0" w:after="0"/>
        <w:ind w:left="284"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lastRenderedPageBreak/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120A2E">
      <w:pPr>
        <w:pStyle w:val="NormalnyWeb"/>
        <w:numPr>
          <w:ilvl w:val="0"/>
          <w:numId w:val="33"/>
        </w:numPr>
        <w:spacing w:before="0" w:beforeAutospacing="0" w:after="0"/>
        <w:ind w:left="284"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</w:t>
      </w:r>
      <w:r w:rsidR="00E7562A" w:rsidRPr="00590EAC">
        <w:rPr>
          <w:rFonts w:ascii="Arial Narrow" w:hAnsi="Arial Narrow"/>
          <w:spacing w:val="-2"/>
          <w:sz w:val="22"/>
          <w:szCs w:val="22"/>
        </w:rPr>
        <w:lastRenderedPageBreak/>
        <w:t xml:space="preserve">z dnia 13 października 2003 r. ustanawiającej system handlu przydziałami emisji gazów cieplarnianych we Wspólnocie oraz zmieniającej dyrektywę Rady 96/61/WE,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 w:rsidR="00AC1C53">
        <w:rPr>
          <w:rFonts w:ascii="Arial Narrow" w:hAnsi="Arial Narrow"/>
          <w:sz w:val="22"/>
          <w:szCs w:val="22"/>
        </w:rPr>
        <w:t xml:space="preserve"> tel. 42 663 33 04</w:t>
      </w:r>
      <w:r>
        <w:rPr>
          <w:rFonts w:ascii="Arial Narrow" w:hAnsi="Arial Narrow"/>
          <w:sz w:val="22"/>
          <w:szCs w:val="22"/>
        </w:rPr>
        <w:t>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lastRenderedPageBreak/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77389E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046B84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</w:t>
            </w:r>
            <w:r w:rsidR="00D337D6" w:rsidRPr="00590EAC">
              <w:rPr>
                <w:rFonts w:ascii="Arial Narrow" w:hAnsi="Arial Narrow"/>
                <w:i/>
                <w:sz w:val="22"/>
                <w:szCs w:val="22"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</w:t>
      </w:r>
      <w:r w:rsidR="0077389E">
        <w:rPr>
          <w:rFonts w:ascii="Arial Narrow" w:hAnsi="Arial Narrow"/>
          <w:sz w:val="22"/>
          <w:szCs w:val="22"/>
        </w:rPr>
        <w:tab/>
      </w:r>
      <w:r w:rsidRPr="0063201B">
        <w:rPr>
          <w:rFonts w:ascii="Arial Narrow" w:hAnsi="Arial Narrow"/>
          <w:sz w:val="22"/>
          <w:szCs w:val="22"/>
        </w:rPr>
        <w:t xml:space="preserve">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lastRenderedPageBreak/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B480C" w:rsidRPr="009A269F" w:rsidRDefault="009A269F" w:rsidP="00120A2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A269F">
        <w:rPr>
          <w:rFonts w:ascii="Arial Narrow" w:hAnsi="Arial Narrow"/>
          <w:bCs/>
          <w:sz w:val="22"/>
          <w:szCs w:val="22"/>
        </w:rPr>
        <w:t>16</w:t>
      </w:r>
      <w:r w:rsidR="00AC1C53" w:rsidRPr="009A269F">
        <w:rPr>
          <w:rFonts w:ascii="Arial Narrow" w:hAnsi="Arial Narrow"/>
          <w:bCs/>
          <w:sz w:val="22"/>
          <w:szCs w:val="22"/>
        </w:rPr>
        <w:t>. Inne dokumenty wymagane prawem polskim lub kategorią projektu</w:t>
      </w:r>
      <w:r w:rsidR="00120A2E">
        <w:rPr>
          <w:rFonts w:ascii="Arial Narrow" w:hAnsi="Arial Narrow"/>
          <w:bCs/>
          <w:sz w:val="22"/>
          <w:szCs w:val="22"/>
        </w:rPr>
        <w:t>.</w:t>
      </w:r>
    </w:p>
    <w:p w:rsidR="00BB480C" w:rsidRPr="00137691" w:rsidRDefault="00BB480C" w:rsidP="00AC1C53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AC1C53" w:rsidRPr="0095617B" w:rsidRDefault="00AC1C53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</w:t>
      </w:r>
      <w:r w:rsidR="00820E02">
        <w:rPr>
          <w:rFonts w:ascii="Arial Narrow" w:hAnsi="Arial Narrow"/>
          <w:sz w:val="22"/>
          <w:szCs w:val="22"/>
        </w:rPr>
        <w:t>ji w zakresie dróg publicznych)</w:t>
      </w:r>
      <w:r w:rsidR="00DD682E">
        <w:rPr>
          <w:rFonts w:ascii="Arial Narrow" w:hAnsi="Arial Narrow"/>
          <w:sz w:val="22"/>
          <w:szCs w:val="22"/>
        </w:rPr>
        <w:t>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A9" w:rsidRDefault="00571EA9">
      <w:r>
        <w:separator/>
      </w:r>
    </w:p>
  </w:endnote>
  <w:endnote w:type="continuationSeparator" w:id="0">
    <w:p w:rsidR="00571EA9" w:rsidRDefault="00571EA9">
      <w:r>
        <w:continuationSeparator/>
      </w:r>
    </w:p>
  </w:endnote>
  <w:endnote w:type="continuationNotice" w:id="1">
    <w:p w:rsidR="00571EA9" w:rsidRDefault="00571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30" w:rsidRDefault="00C301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30130" w:rsidRDefault="00C301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30" w:rsidRDefault="00C30130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A82904">
      <w:rPr>
        <w:rStyle w:val="Numerstrony"/>
        <w:rFonts w:ascii="Arial Narrow" w:hAnsi="Arial Narrow"/>
        <w:noProof/>
      </w:rPr>
      <w:t>18</w:t>
    </w:r>
    <w:r>
      <w:rPr>
        <w:rStyle w:val="Numerstrony"/>
        <w:rFonts w:ascii="Arial Narrow" w:hAnsi="Arial Narrow"/>
      </w:rPr>
      <w:fldChar w:fldCharType="end"/>
    </w:r>
  </w:p>
  <w:p w:rsidR="00C30130" w:rsidRDefault="00C30130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A9" w:rsidRDefault="00571EA9">
      <w:r>
        <w:separator/>
      </w:r>
    </w:p>
  </w:footnote>
  <w:footnote w:type="continuationSeparator" w:id="0">
    <w:p w:rsidR="00571EA9" w:rsidRDefault="00571EA9">
      <w:r>
        <w:continuationSeparator/>
      </w:r>
    </w:p>
  </w:footnote>
  <w:footnote w:type="continuationNotice" w:id="1">
    <w:p w:rsidR="00571EA9" w:rsidRDefault="00571EA9"/>
  </w:footnote>
  <w:footnote w:id="2">
    <w:p w:rsidR="00C30130" w:rsidRDefault="00C30130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30" w:rsidRDefault="00C30130" w:rsidP="00563CDF">
    <w:pPr>
      <w:pStyle w:val="Nagwek"/>
      <w:jc w:val="center"/>
    </w:pPr>
  </w:p>
  <w:p w:rsidR="00C30130" w:rsidRDefault="00C30130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30" w:rsidRPr="00120A2E" w:rsidRDefault="00C30130" w:rsidP="00774587">
    <w:pPr>
      <w:pStyle w:val="Nagwek"/>
      <w:jc w:val="right"/>
      <w:rPr>
        <w:rFonts w:ascii="Arial" w:hAnsi="Arial" w:cs="Arial"/>
      </w:rPr>
    </w:pPr>
    <w:r w:rsidRPr="00120A2E">
      <w:rPr>
        <w:rFonts w:ascii="Arial" w:hAnsi="Arial" w:cs="Arial"/>
      </w:rPr>
      <w:t>Załącznik nr I</w:t>
    </w:r>
  </w:p>
  <w:p w:rsidR="00C30130" w:rsidRDefault="00A82904" w:rsidP="003E7F4C">
    <w:pPr>
      <w:pStyle w:val="Nagwek"/>
      <w:jc w:val="center"/>
      <w:rPr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.7pt;height:58.55pt">
          <v:imagedata r:id="rId1" o:title="Logo"/>
        </v:shape>
      </w:pict>
    </w:r>
  </w:p>
  <w:p w:rsidR="00C30130" w:rsidRDefault="00C30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43884"/>
    <w:multiLevelType w:val="hybridMultilevel"/>
    <w:tmpl w:val="A158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"/>
  </w:num>
  <w:num w:numId="4">
    <w:abstractNumId w:val="13"/>
  </w:num>
  <w:num w:numId="5">
    <w:abstractNumId w:val="28"/>
  </w:num>
  <w:num w:numId="6">
    <w:abstractNumId w:val="9"/>
  </w:num>
  <w:num w:numId="7">
    <w:abstractNumId w:val="22"/>
  </w:num>
  <w:num w:numId="8">
    <w:abstractNumId w:val="1"/>
  </w:num>
  <w:num w:numId="9">
    <w:abstractNumId w:val="14"/>
  </w:num>
  <w:num w:numId="10">
    <w:abstractNumId w:val="5"/>
  </w:num>
  <w:num w:numId="11">
    <w:abstractNumId w:val="30"/>
  </w:num>
  <w:num w:numId="12">
    <w:abstractNumId w:val="0"/>
  </w:num>
  <w:num w:numId="13">
    <w:abstractNumId w:val="32"/>
  </w:num>
  <w:num w:numId="14">
    <w:abstractNumId w:val="17"/>
  </w:num>
  <w:num w:numId="15">
    <w:abstractNumId w:val="23"/>
  </w:num>
  <w:num w:numId="16">
    <w:abstractNumId w:val="26"/>
  </w:num>
  <w:num w:numId="17">
    <w:abstractNumId w:val="7"/>
  </w:num>
  <w:num w:numId="18">
    <w:abstractNumId w:val="16"/>
  </w:num>
  <w:num w:numId="19">
    <w:abstractNumId w:val="11"/>
  </w:num>
  <w:num w:numId="20">
    <w:abstractNumId w:val="27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9"/>
  </w:num>
  <w:num w:numId="26">
    <w:abstractNumId w:val="25"/>
  </w:num>
  <w:num w:numId="27">
    <w:abstractNumId w:val="12"/>
  </w:num>
  <w:num w:numId="28">
    <w:abstractNumId w:val="10"/>
  </w:num>
  <w:num w:numId="29">
    <w:abstractNumId w:val="3"/>
  </w:num>
  <w:num w:numId="30">
    <w:abstractNumId w:val="24"/>
  </w:num>
  <w:num w:numId="31">
    <w:abstractNumId w:val="6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0A2E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1DD5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1EA9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3685"/>
    <w:rsid w:val="007147E4"/>
    <w:rsid w:val="00715FAF"/>
    <w:rsid w:val="007171A3"/>
    <w:rsid w:val="00720434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0E0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35AF4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69F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2904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1C53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182F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480C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6FFE"/>
    <w:rsid w:val="00C271D2"/>
    <w:rsid w:val="00C27317"/>
    <w:rsid w:val="00C30130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15E4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51BE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0BC6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4:docId w14:val="4B5C36E2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348F-380F-4380-9533-7DFF1086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3607</Words>
  <Characters>25948</Characters>
  <Application>Microsoft Office Word</Application>
  <DocSecurity>4</DocSecurity>
  <Lines>216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Agata Kiszałkiewicz</cp:lastModifiedBy>
  <cp:revision>2</cp:revision>
  <cp:lastPrinted>2021-02-11T14:38:00Z</cp:lastPrinted>
  <dcterms:created xsi:type="dcterms:W3CDTF">2022-10-14T05:40:00Z</dcterms:created>
  <dcterms:modified xsi:type="dcterms:W3CDTF">2022-10-14T05:40:00Z</dcterms:modified>
</cp:coreProperties>
</file>