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Pr="00CB2BC3" w:rsidRDefault="00896B7A" w:rsidP="00104324">
      <w:pPr>
        <w:tabs>
          <w:tab w:val="left" w:pos="12420"/>
        </w:tabs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94DE2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436"/>
        <w:gridCol w:w="113"/>
      </w:tblGrid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trHeight w:val="116"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C26FFE" w:rsidTr="00C26FFE">
        <w:trPr>
          <w:gridAfter w:val="1"/>
          <w:wAfter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C26FFE" w:rsidRPr="00A10F0C" w:rsidRDefault="00C26FFE" w:rsidP="00C26FFE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7519FD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CD3D0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2,00 %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C26FFE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WYDATKI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C26FF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081EB0"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C26FFE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W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 xml:space="preserve"> tym koszty bezpośrednie: 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26FFE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820E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rzeczywiście ponoszonych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rozliczanych stawką ryczałtową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3182F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3182F" w:rsidRPr="00720434" w:rsidRDefault="007519FD" w:rsidP="00BB480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Przebudowa</w:t>
            </w:r>
            <w:r w:rsidR="00B3182F" w:rsidRPr="00B3182F">
              <w:rPr>
                <w:rFonts w:ascii="Arial Narrow" w:hAnsi="Arial Narrow" w:cs="Arial"/>
                <w:b/>
              </w:rPr>
              <w:t xml:space="preserve"> infrastruktury technicznej kolidującej z inwestycją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3182F" w:rsidRPr="00720434" w:rsidRDefault="00B3182F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3182F" w:rsidRPr="00720434" w:rsidRDefault="00B3182F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D3D0B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CD3D0B" w:rsidRDefault="00CD3D0B" w:rsidP="00BB480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CD3D0B" w:rsidRPr="00720434" w:rsidRDefault="00CD3D0B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CD3D0B" w:rsidRPr="00720434" w:rsidRDefault="00CD3D0B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F448D2" w:rsidRPr="00720434" w:rsidRDefault="00F448D2">
      <w:pPr>
        <w:rPr>
          <w:rFonts w:ascii="Arial Narrow" w:hAnsi="Arial Narrow" w:cs="Arial"/>
          <w:b/>
        </w:rPr>
      </w:pPr>
    </w:p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94DE2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94DE2">
              <w:rPr>
                <w:rFonts w:ascii="Arial Narrow" w:hAnsi="Arial Narrow" w:cs="Arial"/>
                <w:sz w:val="22"/>
                <w:szCs w:val="22"/>
              </w:rPr>
            </w:r>
            <w:r w:rsidR="00D94DE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120A2E">
      <w:pPr>
        <w:pStyle w:val="NormalnyWeb"/>
        <w:numPr>
          <w:ilvl w:val="0"/>
          <w:numId w:val="24"/>
        </w:numPr>
        <w:spacing w:after="40"/>
        <w:ind w:left="70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120A2E">
      <w:pPr>
        <w:pStyle w:val="NormalnyWeb"/>
        <w:numPr>
          <w:ilvl w:val="0"/>
          <w:numId w:val="33"/>
        </w:numPr>
        <w:spacing w:before="0" w:beforeAutospacing="0" w:after="0"/>
        <w:ind w:left="284"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120A2E">
      <w:pPr>
        <w:pStyle w:val="NormalnyWeb"/>
        <w:numPr>
          <w:ilvl w:val="0"/>
          <w:numId w:val="33"/>
        </w:numPr>
        <w:tabs>
          <w:tab w:val="left" w:pos="851"/>
        </w:tabs>
        <w:spacing w:before="0" w:beforeAutospacing="0" w:after="0"/>
        <w:ind w:left="284"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120A2E">
      <w:pPr>
        <w:pStyle w:val="NormalnyWeb"/>
        <w:numPr>
          <w:ilvl w:val="0"/>
          <w:numId w:val="33"/>
        </w:numPr>
        <w:spacing w:before="0" w:beforeAutospacing="0" w:after="0"/>
        <w:ind w:left="284"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 w:rsidR="00AC1C53">
        <w:rPr>
          <w:rFonts w:ascii="Arial Narrow" w:hAnsi="Arial Narrow"/>
          <w:sz w:val="22"/>
          <w:szCs w:val="22"/>
        </w:rPr>
        <w:t xml:space="preserve"> tel. 42 663 33 04</w:t>
      </w:r>
      <w:r>
        <w:rPr>
          <w:rFonts w:ascii="Arial Narrow" w:hAnsi="Arial Narrow"/>
          <w:sz w:val="22"/>
          <w:szCs w:val="22"/>
        </w:rPr>
        <w:t>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Rozporządzenie Parlamentu Europejskiego i </w:t>
      </w:r>
      <w:r w:rsidRPr="00CE6635">
        <w:rPr>
          <w:rFonts w:ascii="Arial Narrow" w:hAnsi="Arial Narrow"/>
        </w:rPr>
        <w:lastRenderedPageBreak/>
        <w:t>Rady (UE) nr 1301/2013 z dnia 17 grudnia 2013 r. w sprawie Europejskiego Funduszu Rozwoju Regionalnego i przepisów szczególnych dotyczących celu „Inwestycje na rzecz wzrostu i zatrudnienia” oraz w sprawie uchylenia rozporządzenia (WE) nr 1080/2006,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77389E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046B84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</w:t>
            </w:r>
            <w:r w:rsidR="00D337D6" w:rsidRPr="00590EAC">
              <w:rPr>
                <w:rFonts w:ascii="Arial Narrow" w:hAnsi="Arial Narrow"/>
                <w:i/>
                <w:sz w:val="22"/>
                <w:szCs w:val="22"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</w:t>
      </w:r>
      <w:r w:rsidR="0077389E">
        <w:rPr>
          <w:rFonts w:ascii="Arial Narrow" w:hAnsi="Arial Narrow"/>
          <w:sz w:val="22"/>
          <w:szCs w:val="22"/>
        </w:rPr>
        <w:tab/>
      </w:r>
      <w:r w:rsidRPr="0063201B">
        <w:rPr>
          <w:rFonts w:ascii="Arial Narrow" w:hAnsi="Arial Narrow"/>
          <w:sz w:val="22"/>
          <w:szCs w:val="22"/>
        </w:rPr>
        <w:t xml:space="preserve">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CD3D0B" w:rsidRDefault="00BA6C3B" w:rsidP="00CD3D0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CD3D0B" w:rsidRPr="00CD3D0B">
        <w:rPr>
          <w:rFonts w:ascii="Arial Narrow" w:hAnsi="Arial Narrow"/>
          <w:sz w:val="22"/>
          <w:szCs w:val="22"/>
        </w:rPr>
        <w:t xml:space="preserve">Załącznik dotyczący kwalifikowalności podatku od towarów i usług (VAT)- oświadczenie- załącznik dotyczy. (W przypadku realizacji projektów partnerskich, każdy z partnerów przedkłada również w/w załącznik). </w:t>
      </w:r>
    </w:p>
    <w:p w:rsidR="00BA6C3B" w:rsidRPr="00644E6A" w:rsidRDefault="00BA6C3B" w:rsidP="00CD3D0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AC1C53" w:rsidRDefault="00BA6C3B" w:rsidP="00D94D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13</w:t>
      </w:r>
      <w:r w:rsidR="00AC1C53" w:rsidRPr="009A269F">
        <w:rPr>
          <w:rFonts w:ascii="Arial Narrow" w:hAnsi="Arial Narrow"/>
          <w:bCs/>
          <w:sz w:val="22"/>
          <w:szCs w:val="22"/>
        </w:rPr>
        <w:t>.</w:t>
      </w:r>
      <w:r w:rsidR="00CD3D0B">
        <w:rPr>
          <w:rFonts w:ascii="Arial Narrow" w:hAnsi="Arial Narrow"/>
          <w:bCs/>
          <w:sz w:val="22"/>
          <w:szCs w:val="22"/>
        </w:rPr>
        <w:t xml:space="preserve"> </w:t>
      </w:r>
      <w:r w:rsidR="00AC1C53" w:rsidRPr="009A269F">
        <w:rPr>
          <w:rFonts w:ascii="Arial Narrow" w:hAnsi="Arial Narrow"/>
          <w:bCs/>
          <w:sz w:val="22"/>
          <w:szCs w:val="22"/>
        </w:rPr>
        <w:t xml:space="preserve"> Inne dokumenty wymagane prawem polskim lub kategorią projektu</w:t>
      </w:r>
      <w:r w:rsidR="00120A2E">
        <w:rPr>
          <w:rFonts w:ascii="Arial Narrow" w:hAnsi="Arial Narrow"/>
          <w:bCs/>
          <w:sz w:val="22"/>
          <w:szCs w:val="22"/>
        </w:rPr>
        <w:t>.</w:t>
      </w:r>
    </w:p>
    <w:p w:rsidR="00D94DE2" w:rsidRPr="00D94DE2" w:rsidRDefault="00D94DE2" w:rsidP="00D94D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bookmarkStart w:id="0" w:name="_GoBack"/>
      <w:bookmarkEnd w:id="0"/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</w:t>
      </w:r>
      <w:r w:rsidR="00820E02">
        <w:rPr>
          <w:rFonts w:ascii="Arial Narrow" w:hAnsi="Arial Narrow"/>
          <w:sz w:val="22"/>
          <w:szCs w:val="22"/>
        </w:rPr>
        <w:t>ji w zakresie dróg publicznych)</w:t>
      </w:r>
      <w:r w:rsidR="00DD682E">
        <w:rPr>
          <w:rFonts w:ascii="Arial Narrow" w:hAnsi="Arial Narrow"/>
          <w:sz w:val="22"/>
          <w:szCs w:val="22"/>
        </w:rPr>
        <w:t>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CD3D0B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FD" w:rsidRDefault="007519FD">
      <w:r>
        <w:separator/>
      </w:r>
    </w:p>
  </w:endnote>
  <w:endnote w:type="continuationSeparator" w:id="0">
    <w:p w:rsidR="007519FD" w:rsidRDefault="007519FD">
      <w:r>
        <w:continuationSeparator/>
      </w:r>
    </w:p>
  </w:endnote>
  <w:endnote w:type="continuationNotice" w:id="1">
    <w:p w:rsidR="007519FD" w:rsidRDefault="00751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FD" w:rsidRDefault="007519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519FD" w:rsidRDefault="007519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FD" w:rsidRDefault="007519FD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D94DE2">
      <w:rPr>
        <w:rStyle w:val="Numerstrony"/>
        <w:rFonts w:ascii="Arial Narrow" w:hAnsi="Arial Narrow"/>
        <w:noProof/>
      </w:rPr>
      <w:t>16</w:t>
    </w:r>
    <w:r>
      <w:rPr>
        <w:rStyle w:val="Numerstrony"/>
        <w:rFonts w:ascii="Arial Narrow" w:hAnsi="Arial Narrow"/>
      </w:rPr>
      <w:fldChar w:fldCharType="end"/>
    </w:r>
  </w:p>
  <w:p w:rsidR="007519FD" w:rsidRDefault="007519FD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FD" w:rsidRDefault="007519FD">
      <w:r>
        <w:separator/>
      </w:r>
    </w:p>
  </w:footnote>
  <w:footnote w:type="continuationSeparator" w:id="0">
    <w:p w:rsidR="007519FD" w:rsidRDefault="007519FD">
      <w:r>
        <w:continuationSeparator/>
      </w:r>
    </w:p>
  </w:footnote>
  <w:footnote w:type="continuationNotice" w:id="1">
    <w:p w:rsidR="007519FD" w:rsidRDefault="007519FD"/>
  </w:footnote>
  <w:footnote w:id="2">
    <w:p w:rsidR="007519FD" w:rsidRDefault="007519FD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FD" w:rsidRDefault="007519FD" w:rsidP="00563CDF">
    <w:pPr>
      <w:pStyle w:val="Nagwek"/>
      <w:jc w:val="center"/>
    </w:pPr>
  </w:p>
  <w:p w:rsidR="007519FD" w:rsidRDefault="007519FD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FD" w:rsidRPr="00120A2E" w:rsidRDefault="007519FD" w:rsidP="00774587">
    <w:pPr>
      <w:pStyle w:val="Nagwek"/>
      <w:jc w:val="right"/>
      <w:rPr>
        <w:rFonts w:ascii="Arial" w:hAnsi="Arial" w:cs="Arial"/>
      </w:rPr>
    </w:pPr>
    <w:r w:rsidRPr="00120A2E">
      <w:rPr>
        <w:rFonts w:ascii="Arial" w:hAnsi="Arial" w:cs="Arial"/>
      </w:rPr>
      <w:t>Załącznik nr I</w:t>
    </w:r>
  </w:p>
  <w:p w:rsidR="007519FD" w:rsidRDefault="00D94DE2" w:rsidP="003E7F4C">
    <w:pPr>
      <w:pStyle w:val="Nagwek"/>
      <w:jc w:val="center"/>
      <w:rPr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.75pt;height:58.5pt">
          <v:imagedata r:id="rId1" o:title="Logo"/>
        </v:shape>
      </w:pict>
    </w:r>
  </w:p>
  <w:p w:rsidR="007519FD" w:rsidRDefault="00751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3884"/>
    <w:multiLevelType w:val="hybridMultilevel"/>
    <w:tmpl w:val="A1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"/>
  </w:num>
  <w:num w:numId="4">
    <w:abstractNumId w:val="13"/>
  </w:num>
  <w:num w:numId="5">
    <w:abstractNumId w:val="28"/>
  </w:num>
  <w:num w:numId="6">
    <w:abstractNumId w:val="9"/>
  </w:num>
  <w:num w:numId="7">
    <w:abstractNumId w:val="22"/>
  </w:num>
  <w:num w:numId="8">
    <w:abstractNumId w:val="1"/>
  </w:num>
  <w:num w:numId="9">
    <w:abstractNumId w:val="14"/>
  </w:num>
  <w:num w:numId="10">
    <w:abstractNumId w:val="5"/>
  </w:num>
  <w:num w:numId="11">
    <w:abstractNumId w:val="30"/>
  </w:num>
  <w:num w:numId="12">
    <w:abstractNumId w:val="0"/>
  </w:num>
  <w:num w:numId="13">
    <w:abstractNumId w:val="32"/>
  </w:num>
  <w:num w:numId="14">
    <w:abstractNumId w:val="17"/>
  </w:num>
  <w:num w:numId="15">
    <w:abstractNumId w:val="23"/>
  </w:num>
  <w:num w:numId="16">
    <w:abstractNumId w:val="26"/>
  </w:num>
  <w:num w:numId="17">
    <w:abstractNumId w:val="7"/>
  </w:num>
  <w:num w:numId="18">
    <w:abstractNumId w:val="16"/>
  </w:num>
  <w:num w:numId="19">
    <w:abstractNumId w:val="11"/>
  </w:num>
  <w:num w:numId="20">
    <w:abstractNumId w:val="27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9"/>
  </w:num>
  <w:num w:numId="26">
    <w:abstractNumId w:val="25"/>
  </w:num>
  <w:num w:numId="27">
    <w:abstractNumId w:val="12"/>
  </w:num>
  <w:num w:numId="28">
    <w:abstractNumId w:val="10"/>
  </w:num>
  <w:num w:numId="29">
    <w:abstractNumId w:val="3"/>
  </w:num>
  <w:num w:numId="30">
    <w:abstractNumId w:val="24"/>
  </w:num>
  <w:num w:numId="31">
    <w:abstractNumId w:val="6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0A2E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1DD5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1EA9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3685"/>
    <w:rsid w:val="007147E4"/>
    <w:rsid w:val="00715FAF"/>
    <w:rsid w:val="007171A3"/>
    <w:rsid w:val="00720434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19FD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0E0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35AF4"/>
    <w:rsid w:val="00941489"/>
    <w:rsid w:val="00941DCD"/>
    <w:rsid w:val="00942BC0"/>
    <w:rsid w:val="00943FB4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69F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2904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1C53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182F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480C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6FFE"/>
    <w:rsid w:val="00C271D2"/>
    <w:rsid w:val="00C27317"/>
    <w:rsid w:val="00C30130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15E4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3D0B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4DE2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51BE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0BC6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  <w14:docId w14:val="2DC9E019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C222-B33B-4A31-958A-583811E4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3477</Words>
  <Characters>24989</Characters>
  <Application>Microsoft Office Word</Application>
  <DocSecurity>0</DocSecurity>
  <Lines>208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Agnieszka Iwińska</cp:lastModifiedBy>
  <cp:revision>4</cp:revision>
  <cp:lastPrinted>2023-01-17T15:11:00Z</cp:lastPrinted>
  <dcterms:created xsi:type="dcterms:W3CDTF">2022-10-14T05:40:00Z</dcterms:created>
  <dcterms:modified xsi:type="dcterms:W3CDTF">2023-01-17T15:12:00Z</dcterms:modified>
</cp:coreProperties>
</file>