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2C" w:rsidRPr="004E0C88" w:rsidRDefault="00DC762C" w:rsidP="00DC762C">
      <w:pPr>
        <w:tabs>
          <w:tab w:val="left" w:pos="2364"/>
          <w:tab w:val="center" w:pos="4536"/>
          <w:tab w:val="right" w:pos="9072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DC762C" w:rsidRDefault="00DC762C" w:rsidP="00DC762C">
      <w:pPr>
        <w:pStyle w:val="Nagwek"/>
        <w:jc w:val="right"/>
        <w:rPr>
          <w:rFonts w:ascii="Arial Narrow" w:hAnsi="Arial Narrow"/>
          <w:sz w:val="18"/>
          <w:szCs w:val="18"/>
        </w:rPr>
      </w:pPr>
    </w:p>
    <w:p w:rsidR="00DC762C" w:rsidRPr="00B50252" w:rsidRDefault="00DC762C" w:rsidP="00DC762C">
      <w:pPr>
        <w:pStyle w:val="Nagwek"/>
        <w:jc w:val="right"/>
        <w:rPr>
          <w:rFonts w:ascii="Arial Narrow" w:hAnsi="Arial Narrow"/>
          <w:sz w:val="18"/>
          <w:szCs w:val="18"/>
        </w:rPr>
      </w:pPr>
    </w:p>
    <w:p w:rsidR="00DC762C" w:rsidRDefault="00DC762C" w:rsidP="00DC76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50252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                  </w:t>
      </w:r>
      <w:r w:rsidRPr="003C4503">
        <w:rPr>
          <w:rFonts w:ascii="Arial" w:hAnsi="Arial" w:cs="Arial"/>
          <w:bCs/>
          <w:sz w:val="20"/>
          <w:szCs w:val="20"/>
        </w:rPr>
        <w:t xml:space="preserve">Lista </w:t>
      </w:r>
      <w:r>
        <w:rPr>
          <w:rFonts w:ascii="Arial" w:hAnsi="Arial" w:cs="Arial"/>
          <w:bCs/>
          <w:sz w:val="20"/>
          <w:szCs w:val="20"/>
        </w:rPr>
        <w:t>projektów wybranych do dofinansowania w ramach</w:t>
      </w:r>
      <w:r w:rsidRPr="003C4503">
        <w:rPr>
          <w:rFonts w:ascii="Arial" w:hAnsi="Arial" w:cs="Arial"/>
          <w:bCs/>
          <w:sz w:val="20"/>
          <w:szCs w:val="20"/>
        </w:rPr>
        <w:t xml:space="preserve"> naboru </w:t>
      </w:r>
      <w:r w:rsidRPr="006535F1">
        <w:rPr>
          <w:rFonts w:ascii="Arial" w:hAnsi="Arial" w:cs="Arial"/>
          <w:bCs/>
          <w:sz w:val="20"/>
          <w:szCs w:val="20"/>
        </w:rPr>
        <w:t>Nr RPLD.0</w:t>
      </w:r>
      <w:r>
        <w:rPr>
          <w:rFonts w:ascii="Arial" w:hAnsi="Arial" w:cs="Arial"/>
          <w:bCs/>
          <w:sz w:val="20"/>
          <w:szCs w:val="20"/>
        </w:rPr>
        <w:t>5</w:t>
      </w:r>
      <w:r w:rsidRPr="006535F1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3</w:t>
      </w:r>
      <w:r w:rsidRPr="006535F1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2</w:t>
      </w:r>
      <w:r w:rsidRPr="006535F1">
        <w:rPr>
          <w:rFonts w:ascii="Arial" w:hAnsi="Arial" w:cs="Arial"/>
          <w:bCs/>
          <w:sz w:val="20"/>
          <w:szCs w:val="20"/>
        </w:rPr>
        <w:t>-IZ.00-10-001/1</w:t>
      </w:r>
      <w:r>
        <w:rPr>
          <w:rFonts w:ascii="Arial" w:hAnsi="Arial" w:cs="Arial"/>
          <w:bCs/>
          <w:sz w:val="20"/>
          <w:szCs w:val="20"/>
        </w:rPr>
        <w:t>7</w:t>
      </w:r>
    </w:p>
    <w:p w:rsidR="00DC762C" w:rsidRPr="006535F1" w:rsidRDefault="00DC762C" w:rsidP="00DC762C">
      <w:pPr>
        <w:pStyle w:val="Tekstpodstawowy3"/>
        <w:spacing w:after="0"/>
        <w:ind w:left="720" w:right="818" w:firstLine="720"/>
        <w:jc w:val="center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Oś </w:t>
      </w:r>
      <w:r w:rsidRPr="006535F1">
        <w:rPr>
          <w:rFonts w:ascii="Arial" w:hAnsi="Arial" w:cs="Arial"/>
          <w:bCs/>
          <w:sz w:val="20"/>
          <w:szCs w:val="20"/>
          <w:lang w:eastAsia="en-US"/>
        </w:rPr>
        <w:t>p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riorytetowa </w:t>
      </w:r>
      <w:r w:rsidRPr="00FB27F6">
        <w:rPr>
          <w:rFonts w:ascii="Arial" w:hAnsi="Arial" w:cs="Arial"/>
          <w:bCs/>
          <w:sz w:val="20"/>
          <w:szCs w:val="20"/>
          <w:lang w:eastAsia="en-US"/>
        </w:rPr>
        <w:t xml:space="preserve">V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Ochrona środowiska Działanie </w:t>
      </w:r>
      <w:r w:rsidRPr="00FB27F6">
        <w:rPr>
          <w:rFonts w:ascii="Arial" w:hAnsi="Arial" w:cs="Arial"/>
          <w:bCs/>
          <w:sz w:val="20"/>
          <w:szCs w:val="20"/>
          <w:lang w:eastAsia="en-US"/>
        </w:rPr>
        <w:t xml:space="preserve">V.3 </w:t>
      </w:r>
      <w:r>
        <w:rPr>
          <w:rFonts w:ascii="Arial" w:hAnsi="Arial" w:cs="Arial"/>
          <w:bCs/>
          <w:sz w:val="20"/>
          <w:szCs w:val="20"/>
          <w:lang w:eastAsia="en-US"/>
        </w:rPr>
        <w:t>Gospodarka wodno-kanalizacyjna</w:t>
      </w:r>
      <w:r w:rsidRPr="00FB27F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Poddziałanie  </w:t>
      </w:r>
      <w:r w:rsidRPr="00FB27F6">
        <w:rPr>
          <w:rFonts w:ascii="Arial" w:hAnsi="Arial" w:cs="Arial"/>
          <w:bCs/>
          <w:sz w:val="20"/>
          <w:szCs w:val="20"/>
          <w:lang w:eastAsia="en-US"/>
        </w:rPr>
        <w:t>V.3.</w:t>
      </w:r>
      <w:r>
        <w:rPr>
          <w:rFonts w:ascii="Arial" w:hAnsi="Arial" w:cs="Arial"/>
          <w:bCs/>
          <w:sz w:val="20"/>
          <w:szCs w:val="20"/>
          <w:lang w:eastAsia="en-US"/>
        </w:rPr>
        <w:t>2</w:t>
      </w:r>
      <w:r w:rsidRPr="00190EFD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Gospodarka wodno-kanalizacyjna                            </w:t>
      </w:r>
      <w:r w:rsidRPr="00FB27F6">
        <w:rPr>
          <w:rFonts w:ascii="Arial" w:hAnsi="Arial" w:cs="Arial"/>
          <w:bCs/>
          <w:sz w:val="20"/>
          <w:szCs w:val="20"/>
          <w:lang w:eastAsia="en-US"/>
        </w:rPr>
        <w:t xml:space="preserve"> w ramach Regionalnego Programu Operacyjnego Województwa Łódzkiego na lata 2014-2020</w:t>
      </w:r>
      <w:r w:rsidRPr="006535F1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DC762C" w:rsidRDefault="00DC762C" w:rsidP="00DC762C">
      <w:pPr>
        <w:pStyle w:val="Tekstpodstawowy3"/>
        <w:spacing w:after="0"/>
        <w:jc w:val="both"/>
        <w:rPr>
          <w:rFonts w:ascii="Arial Narrow" w:hAnsi="Arial Narrow"/>
          <w:b/>
          <w:sz w:val="18"/>
          <w:szCs w:val="18"/>
        </w:rPr>
      </w:pPr>
    </w:p>
    <w:tbl>
      <w:tblPr>
        <w:tblpPr w:leftFromText="142" w:rightFromText="142" w:vertAnchor="text" w:horzAnchor="margin" w:tblpXSpec="center" w:tblpY="52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2439"/>
        <w:gridCol w:w="2977"/>
        <w:gridCol w:w="1559"/>
        <w:gridCol w:w="1701"/>
        <w:gridCol w:w="1701"/>
        <w:gridCol w:w="1118"/>
      </w:tblGrid>
      <w:tr w:rsidR="00DC762C" w:rsidRPr="002C7879" w:rsidTr="004913A5">
        <w:trPr>
          <w:trHeight w:val="431"/>
        </w:trPr>
        <w:tc>
          <w:tcPr>
            <w:tcW w:w="675" w:type="dxa"/>
            <w:vAlign w:val="center"/>
          </w:tcPr>
          <w:p w:rsidR="00DC762C" w:rsidRPr="002C7879" w:rsidRDefault="00DC762C" w:rsidP="004913A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:rsidR="00DC762C" w:rsidRPr="002C7879" w:rsidRDefault="00DC762C" w:rsidP="004913A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2439" w:type="dxa"/>
            <w:vAlign w:val="center"/>
          </w:tcPr>
          <w:p w:rsidR="00DC762C" w:rsidRPr="002C7879" w:rsidRDefault="00DC762C" w:rsidP="004913A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2977" w:type="dxa"/>
            <w:vAlign w:val="center"/>
          </w:tcPr>
          <w:p w:rsidR="00DC762C" w:rsidRPr="002C7879" w:rsidRDefault="00DC762C" w:rsidP="004913A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  <w:vAlign w:val="center"/>
          </w:tcPr>
          <w:p w:rsidR="00DC762C" w:rsidRPr="002C7879" w:rsidRDefault="00DC762C" w:rsidP="004913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sz w:val="20"/>
                <w:szCs w:val="20"/>
              </w:rPr>
              <w:t>Całkowita wartość projektu</w:t>
            </w:r>
          </w:p>
        </w:tc>
        <w:tc>
          <w:tcPr>
            <w:tcW w:w="1701" w:type="dxa"/>
            <w:vAlign w:val="center"/>
          </w:tcPr>
          <w:p w:rsidR="00DC762C" w:rsidRPr="002C7879" w:rsidRDefault="00DC762C" w:rsidP="004913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sz w:val="20"/>
                <w:szCs w:val="20"/>
              </w:rPr>
              <w:t>Wnioskowane dofinansowanie z EFRR Dofinansowanie</w:t>
            </w:r>
          </w:p>
        </w:tc>
        <w:tc>
          <w:tcPr>
            <w:tcW w:w="1701" w:type="dxa"/>
          </w:tcPr>
          <w:p w:rsidR="00DC762C" w:rsidRPr="002C7879" w:rsidRDefault="00DC762C" w:rsidP="004913A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C762C" w:rsidRPr="002C7879" w:rsidRDefault="00DC762C" w:rsidP="004913A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  <w:p w:rsidR="00DC762C" w:rsidRPr="002C7879" w:rsidRDefault="00DC762C" w:rsidP="004913A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sz w:val="20"/>
                <w:szCs w:val="20"/>
              </w:rPr>
              <w:t>narastające</w:t>
            </w:r>
          </w:p>
        </w:tc>
        <w:tc>
          <w:tcPr>
            <w:tcW w:w="1118" w:type="dxa"/>
            <w:vAlign w:val="center"/>
          </w:tcPr>
          <w:p w:rsidR="00DC762C" w:rsidRPr="002C7879" w:rsidRDefault="00DC762C" w:rsidP="004913A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bCs/>
                <w:sz w:val="20"/>
                <w:szCs w:val="20"/>
              </w:rPr>
              <w:t>Procent przyznanych punktów</w:t>
            </w:r>
          </w:p>
        </w:tc>
      </w:tr>
      <w:tr w:rsidR="00DC762C" w:rsidRPr="002C7879" w:rsidTr="004913A5">
        <w:trPr>
          <w:trHeight w:val="699"/>
        </w:trPr>
        <w:tc>
          <w:tcPr>
            <w:tcW w:w="675" w:type="dxa"/>
            <w:vAlign w:val="center"/>
          </w:tcPr>
          <w:p w:rsidR="00DC762C" w:rsidRPr="002C7879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C7879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WND-RPLD.05.03.02-10-0014/17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7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Gmina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Głuchów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BUDOWA SIECI KANALIZACJI SANITARNEJ W MICHOWICACH, CELIGOWIE I JASIENIU, GMINA GŁUCHÓW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7 010 773,89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4 844 843,74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4 844 843,74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89,61</w:t>
            </w:r>
            <w:r w:rsidRPr="00FB27F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C762C" w:rsidRPr="002C7879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WND-RPLD.05.03.02-10-0019/17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Inowłódz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43BE3">
              <w:rPr>
                <w:rFonts w:ascii="Arial" w:hAnsi="Arial" w:cs="Arial"/>
                <w:sz w:val="18"/>
                <w:szCs w:val="18"/>
              </w:rPr>
              <w:t>Budowa kanalizacji sanitarnej w miejscowości Zakościele i Inowłódz gm. Inowłódz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4 161 347,54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2 678 084,61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7 522 928,35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87,01%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Pr="002C7879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WND-RPLD.05.03.02-10-0022/17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Rzeczyca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Budowa sieci </w:t>
            </w:r>
            <w:proofErr w:type="spellStart"/>
            <w:r w:rsidRPr="00343BE3">
              <w:rPr>
                <w:rFonts w:ascii="Arial" w:hAnsi="Arial" w:cs="Arial"/>
                <w:bCs/>
                <w:sz w:val="18"/>
                <w:szCs w:val="18"/>
              </w:rPr>
              <w:t>kanalizacyji</w:t>
            </w:r>
            <w:proofErr w:type="spellEnd"/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 sanitarnej dla sołectw Bobrowiec, Rzeczyca Nowa, Rzeczyca w gminie </w:t>
            </w:r>
            <w:proofErr w:type="spellStart"/>
            <w:r w:rsidRPr="00343BE3">
              <w:rPr>
                <w:rFonts w:ascii="Arial" w:hAnsi="Arial" w:cs="Arial"/>
                <w:bCs/>
                <w:sz w:val="18"/>
                <w:szCs w:val="18"/>
              </w:rPr>
              <w:t>rzeczyca</w:t>
            </w:r>
            <w:proofErr w:type="spellEnd"/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 - etap VI, VIII, IX, X, XIII, XIV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10 581 329,20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3 061 040,53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10 583 968,88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87,01%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WND-RPLD.05.03.02-10-0021/17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Uniejów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Uporządkowanie gospodarki wodno- ściekowej w aglomeracji Uniejów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23 550 836,26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12 684 619,34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23 268 588,22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80,25%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WND-RPLD.05.03.02-10-0007/17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Wierzchlas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Budowa kanalizacji sanitarnej w miejscowości Wierzchlas </w:t>
            </w:r>
            <w:proofErr w:type="spellStart"/>
            <w:r w:rsidRPr="00343BE3">
              <w:rPr>
                <w:rFonts w:ascii="Arial" w:hAnsi="Arial" w:cs="Arial"/>
                <w:bCs/>
                <w:sz w:val="18"/>
                <w:szCs w:val="18"/>
              </w:rPr>
              <w:t>Przycłapy</w:t>
            </w:r>
            <w:proofErr w:type="spellEnd"/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 - etap I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19 086 505,24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10 332 409,88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33 600 998,10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79,22%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WND-RPLD.05.03.02-10-0006/17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Zakład Wodociągów i Kanalizacji Gminy i Miasta Warta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Poprawa gospodarki </w:t>
            </w:r>
            <w:proofErr w:type="spellStart"/>
            <w:r w:rsidRPr="00343BE3">
              <w:rPr>
                <w:rFonts w:ascii="Arial" w:hAnsi="Arial" w:cs="Arial"/>
                <w:bCs/>
                <w:sz w:val="18"/>
                <w:szCs w:val="18"/>
              </w:rPr>
              <w:t>wodno</w:t>
            </w:r>
            <w:proofErr w:type="spellEnd"/>
            <w:r w:rsidRPr="00343BE3">
              <w:rPr>
                <w:rFonts w:ascii="Arial" w:hAnsi="Arial" w:cs="Arial"/>
                <w:bCs/>
                <w:sz w:val="18"/>
                <w:szCs w:val="18"/>
              </w:rPr>
              <w:t xml:space="preserve"> ściekowej na terenie Gminy i Miasta Warta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23 160 240,43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13 501 897,35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47 102 895,45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77,78%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WND-RPLD.05.03.02-10-0018/17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Rokiciny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Przebudowa i rozbudowa gminnej oczyszczalni ścieków wraz z budową i przebudową kanalizacji sanitarnej na terenie gm. Rokiciny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7 984 981,48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4 587 334,27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51 690 229,72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76,62%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WND-RPLD.05.03.02-10-0016/17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Biała Rawska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Budowa kanalizacji sanitarnej w ul. Topolowej i Polnej w Białej Rawskiej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1 241 459,12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583 468,99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52 273 698,71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74,07%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WND-RPLD.05.03.02-10-0010/17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Gmina Paradyż 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977847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Przebudowa i rozbudowa oczyszczalni ścieków w Paradyżu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11 224 828,16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7 756 995,07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60 030 693,78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Pr="00FF1424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68,83%</w:t>
            </w:r>
          </w:p>
        </w:tc>
      </w:tr>
      <w:tr w:rsidR="00DC762C" w:rsidRPr="002C7879" w:rsidTr="004913A5">
        <w:trPr>
          <w:trHeight w:val="395"/>
        </w:trPr>
        <w:tc>
          <w:tcPr>
            <w:tcW w:w="675" w:type="dxa"/>
            <w:vAlign w:val="center"/>
          </w:tcPr>
          <w:p w:rsidR="00DC762C" w:rsidRDefault="00DC762C" w:rsidP="004913A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C762C" w:rsidRPr="00FB27F6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WND-RPLD.05.03.02-10-0023/17</w:t>
            </w:r>
          </w:p>
        </w:tc>
        <w:tc>
          <w:tcPr>
            <w:tcW w:w="2439" w:type="dxa"/>
            <w:tcBorders>
              <w:left w:val="nil"/>
            </w:tcBorders>
            <w:vAlign w:val="center"/>
          </w:tcPr>
          <w:p w:rsidR="00DC762C" w:rsidRDefault="00DC762C" w:rsidP="00491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Lubochnia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DC762C" w:rsidRPr="003D2C9F" w:rsidRDefault="00DC762C" w:rsidP="004913A5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43BE3">
              <w:rPr>
                <w:rFonts w:ascii="Arial" w:hAnsi="Arial" w:cs="Arial"/>
                <w:bCs/>
                <w:sz w:val="18"/>
                <w:szCs w:val="18"/>
              </w:rPr>
              <w:t>Budowa i rozbudowa kanalizacji sanitarnej wraz z przyłączami kanalizacji sanitarnej w miejscowościach Emilianów, Olszowiec, Nowy Olszowiec, Jasień, Dąbrowa, pr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zebudowa oczyszczalni ścieków w </w:t>
            </w:r>
            <w:r w:rsidRPr="00343BE3">
              <w:rPr>
                <w:rFonts w:ascii="Arial" w:hAnsi="Arial" w:cs="Arial"/>
                <w:bCs/>
                <w:sz w:val="18"/>
                <w:szCs w:val="18"/>
              </w:rPr>
              <w:t>Lubochni Dworskiej poprzez budowę suszarni osadu na terenie oczyszczalni ścieków oraz nadbudowa i przebudowa stacji uzdatniania wody w miejscowości Dąbrowa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762C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14 246 988,33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8 158 123,91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C762C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68 188 817,69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:rsidR="00DC762C" w:rsidRDefault="00DC762C" w:rsidP="00491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66,67%</w:t>
            </w:r>
          </w:p>
        </w:tc>
      </w:tr>
    </w:tbl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DC762C" w:rsidRDefault="00DC762C" w:rsidP="00DC762C">
      <w:pPr>
        <w:pStyle w:val="Tekstpodstawowy3"/>
        <w:spacing w:after="0"/>
        <w:rPr>
          <w:rFonts w:ascii="Arial Narrow" w:hAnsi="Arial Narrow"/>
          <w:b/>
          <w:sz w:val="18"/>
          <w:szCs w:val="18"/>
        </w:rPr>
      </w:pPr>
    </w:p>
    <w:p w:rsidR="009F0385" w:rsidRDefault="009F0385"/>
    <w:sectPr w:rsidR="009F0385" w:rsidSect="000F48FA">
      <w:headerReference w:type="default" r:id="rId4"/>
      <w:footerReference w:type="even" r:id="rId5"/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E0" w:rsidRDefault="00DC762C" w:rsidP="00900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706E0" w:rsidRDefault="00DC762C" w:rsidP="00C546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E0" w:rsidRDefault="00DC762C" w:rsidP="00900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706E0" w:rsidRDefault="00DC762C" w:rsidP="00C54662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E0" w:rsidRPr="000A7571" w:rsidRDefault="00DC762C" w:rsidP="000A7571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inline distT="0" distB="0" distL="0" distR="0" wp14:anchorId="7ECEB63B" wp14:editId="5B31E6CC">
          <wp:extent cx="5760720" cy="676090"/>
          <wp:effectExtent l="0" t="0" r="0" b="0"/>
          <wp:docPr id="2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6E0" w:rsidRDefault="00DC762C" w:rsidP="00BC1B9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C"/>
    <w:rsid w:val="009F0385"/>
    <w:rsid w:val="00D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5B3E0-D14D-4A37-ABB2-F442E17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62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762C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C762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762C"/>
    <w:rPr>
      <w:rFonts w:ascii="Calibri" w:eastAsia="Calibri" w:hAnsi="Calibri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762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762C"/>
    <w:rPr>
      <w:rFonts w:ascii="Times New Roman" w:eastAsia="Calibri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uiPriority w:val="99"/>
    <w:rsid w:val="00DC76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Zaremba</dc:creator>
  <cp:keywords/>
  <dc:description/>
  <cp:lastModifiedBy>Aneta Zaremba</cp:lastModifiedBy>
  <cp:revision>1</cp:revision>
  <cp:lastPrinted>2018-03-15T09:51:00Z</cp:lastPrinted>
  <dcterms:created xsi:type="dcterms:W3CDTF">2018-03-15T09:49:00Z</dcterms:created>
  <dcterms:modified xsi:type="dcterms:W3CDTF">2018-03-15T09:51:00Z</dcterms:modified>
</cp:coreProperties>
</file>