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  <w:r w:rsidRPr="005D771F">
        <w:rPr>
          <w:rFonts w:ascii="Arial Narrow" w:hAnsi="Arial Narrow"/>
          <w:b/>
          <w:noProof/>
          <w:sz w:val="22"/>
          <w:szCs w:val="22"/>
        </w:rPr>
        <w:drawing>
          <wp:inline distT="0" distB="0" distL="0" distR="0">
            <wp:extent cx="5705475" cy="4667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A44BF8" w:rsidRDefault="00A44BF8" w:rsidP="00F40D5E">
      <w:pPr>
        <w:ind w:left="7938"/>
        <w:rPr>
          <w:rFonts w:ascii="Arial Narrow" w:hAnsi="Arial Narrow" w:cs="Arial"/>
          <w:b/>
        </w:rPr>
      </w:pPr>
      <w:r w:rsidRPr="004054B5">
        <w:rPr>
          <w:rFonts w:ascii="Arial Narrow" w:hAnsi="Arial Narrow" w:cs="Arial"/>
          <w:sz w:val="20"/>
          <w:szCs w:val="22"/>
        </w:rPr>
        <w:t xml:space="preserve">Załącznik </w:t>
      </w:r>
      <w:r w:rsidR="00F40D5E">
        <w:rPr>
          <w:rFonts w:ascii="Arial Narrow" w:hAnsi="Arial Narrow" w:cs="Arial"/>
          <w:sz w:val="20"/>
          <w:szCs w:val="22"/>
        </w:rPr>
        <w:t>nr VII</w:t>
      </w: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D56289" w:rsidRPr="000D6444" w:rsidRDefault="00D56289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  <w:r w:rsidRPr="000D6444">
        <w:rPr>
          <w:rFonts w:ascii="Arial Narrow" w:hAnsi="Arial Narrow" w:cs="Arial"/>
          <w:b/>
        </w:rPr>
        <w:t>Materiał pomocniczy do określenia maksymalnej kwoty dofinansowania projektów z zakresu Osi priorytetowej VI</w:t>
      </w:r>
      <w:r w:rsidR="00C92426">
        <w:rPr>
          <w:rFonts w:ascii="Arial Narrow" w:hAnsi="Arial Narrow" w:cs="Arial"/>
          <w:b/>
        </w:rPr>
        <w:t>I</w:t>
      </w:r>
      <w:r w:rsidRPr="000D6444">
        <w:rPr>
          <w:rFonts w:ascii="Arial Narrow" w:hAnsi="Arial Narrow" w:cs="Arial"/>
          <w:b/>
        </w:rPr>
        <w:t xml:space="preserve"> </w:t>
      </w:r>
      <w:r w:rsidR="00C92426">
        <w:rPr>
          <w:rFonts w:ascii="Arial Narrow" w:hAnsi="Arial Narrow" w:cs="Arial"/>
          <w:b/>
        </w:rPr>
        <w:t>Infrastruktura dla usług społecznych</w:t>
      </w:r>
      <w:r w:rsidRPr="000D6444">
        <w:rPr>
          <w:rFonts w:ascii="Arial Narrow" w:hAnsi="Arial Narrow" w:cs="Arial"/>
          <w:b/>
        </w:rPr>
        <w:t>, Działania VI</w:t>
      </w:r>
      <w:r w:rsidR="00C92426">
        <w:rPr>
          <w:rFonts w:ascii="Arial Narrow" w:hAnsi="Arial Narrow" w:cs="Arial"/>
          <w:b/>
        </w:rPr>
        <w:t>I</w:t>
      </w:r>
      <w:r w:rsidRPr="000D6444">
        <w:rPr>
          <w:rFonts w:ascii="Arial Narrow" w:hAnsi="Arial Narrow" w:cs="Arial"/>
          <w:b/>
        </w:rPr>
        <w:t>.</w:t>
      </w:r>
      <w:r w:rsidR="00C92426">
        <w:rPr>
          <w:rFonts w:ascii="Arial Narrow" w:hAnsi="Arial Narrow" w:cs="Arial"/>
          <w:b/>
        </w:rPr>
        <w:t>4</w:t>
      </w:r>
      <w:r w:rsidRPr="000D6444">
        <w:rPr>
          <w:rFonts w:ascii="Arial Narrow" w:hAnsi="Arial Narrow" w:cs="Arial"/>
          <w:b/>
        </w:rPr>
        <w:t xml:space="preserve"> </w:t>
      </w:r>
      <w:r w:rsidR="00C92426">
        <w:rPr>
          <w:rFonts w:ascii="Arial Narrow" w:hAnsi="Arial Narrow" w:cs="Arial"/>
          <w:b/>
        </w:rPr>
        <w:t>Edukacja</w:t>
      </w:r>
      <w:r w:rsidRPr="000D6444">
        <w:rPr>
          <w:rFonts w:ascii="Arial Narrow" w:hAnsi="Arial Narrow" w:cs="Arial"/>
          <w:b/>
        </w:rPr>
        <w:t xml:space="preserve">, Poddziałania </w:t>
      </w:r>
      <w:r w:rsidR="00C92426">
        <w:rPr>
          <w:rFonts w:ascii="Arial Narrow" w:hAnsi="Arial Narrow" w:cs="Arial"/>
          <w:b/>
        </w:rPr>
        <w:t>VII.4.1</w:t>
      </w:r>
      <w:r w:rsidRPr="000D6444">
        <w:rPr>
          <w:rFonts w:ascii="Arial Narrow" w:hAnsi="Arial Narrow" w:cs="Arial"/>
          <w:b/>
        </w:rPr>
        <w:t xml:space="preserve"> </w:t>
      </w:r>
      <w:r w:rsidR="00C92426">
        <w:rPr>
          <w:rFonts w:ascii="Arial Narrow" w:hAnsi="Arial Narrow" w:cs="Arial"/>
          <w:b/>
        </w:rPr>
        <w:t>Kształcenie zawodowe i ustawiczne, Poddziałania VII.4.2 Edukacja przedszkolna oraz VII.4.3 Edukacja ogólna</w:t>
      </w:r>
      <w:r w:rsidRPr="000D6444">
        <w:rPr>
          <w:rFonts w:ascii="Arial Narrow" w:hAnsi="Arial Narrow" w:cs="Arial"/>
          <w:b/>
        </w:rPr>
        <w:t xml:space="preserve"> </w:t>
      </w:r>
      <w:r w:rsidR="003E4238">
        <w:rPr>
          <w:rFonts w:ascii="Arial Narrow" w:hAnsi="Arial Narrow" w:cs="Arial"/>
          <w:b/>
        </w:rPr>
        <w:t>(</w:t>
      </w:r>
      <w:r w:rsidRPr="000D6444">
        <w:rPr>
          <w:rFonts w:ascii="Arial Narrow" w:hAnsi="Arial Narrow" w:cs="Arial"/>
          <w:b/>
        </w:rPr>
        <w:t xml:space="preserve">w </w:t>
      </w:r>
      <w:r w:rsidR="003E4238">
        <w:rPr>
          <w:rFonts w:ascii="Arial Narrow" w:hAnsi="Arial Narrow" w:cs="Arial"/>
          <w:b/>
        </w:rPr>
        <w:t>oparciu o R</w:t>
      </w:r>
      <w:r w:rsidRPr="000D6444">
        <w:rPr>
          <w:rFonts w:ascii="Arial Narrow" w:hAnsi="Arial Narrow" w:cs="Arial"/>
          <w:b/>
        </w:rPr>
        <w:t>ozporządzeni</w:t>
      </w:r>
      <w:r w:rsidR="003E4238">
        <w:rPr>
          <w:rFonts w:ascii="Arial Narrow" w:hAnsi="Arial Narrow" w:cs="Arial"/>
          <w:b/>
        </w:rPr>
        <w:t>e</w:t>
      </w:r>
      <w:r w:rsidRPr="000D6444">
        <w:rPr>
          <w:rFonts w:ascii="Arial Narrow" w:hAnsi="Arial Narrow" w:cs="Arial"/>
          <w:b/>
        </w:rPr>
        <w:t xml:space="preserve"> GBER</w:t>
      </w:r>
      <w:r w:rsidR="003E4238">
        <w:rPr>
          <w:rFonts w:ascii="Arial Narrow" w:hAnsi="Arial Narrow" w:cs="Arial"/>
          <w:b/>
        </w:rPr>
        <w:t>)</w:t>
      </w:r>
      <w:bookmarkStart w:id="0" w:name="_GoBack"/>
      <w:bookmarkEnd w:id="0"/>
      <w:r w:rsidRPr="000D6444">
        <w:rPr>
          <w:rFonts w:ascii="Arial Narrow" w:hAnsi="Arial Narrow" w:cs="Arial"/>
          <w:b/>
        </w:rPr>
        <w:t>.</w:t>
      </w:r>
    </w:p>
    <w:p w:rsidR="00086DD1" w:rsidRDefault="00086DD1" w:rsidP="00086DD1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D56289" w:rsidRPr="006269F8" w:rsidRDefault="00D56289" w:rsidP="00086DD1">
      <w:pPr>
        <w:pStyle w:val="Tekstpodstawowy"/>
        <w:spacing w:after="6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Aby określić maksymalny poziom dofinansowania projektu środkami Europejskiego Funduszu Rozwoju Regionalnego (EFRR), konieczne jest, w pierwszej kolejności przeanalizowanie, czy dofinansowanie stanowi pomoc publiczną. W tym celu należy zastosować tzw. state </w:t>
      </w:r>
      <w:proofErr w:type="spellStart"/>
      <w:r w:rsidRPr="006269F8">
        <w:rPr>
          <w:rFonts w:ascii="Arial Narrow" w:hAnsi="Arial Narrow" w:cs="Arial"/>
        </w:rPr>
        <w:t>aid</w:t>
      </w:r>
      <w:proofErr w:type="spellEnd"/>
      <w:r w:rsidRPr="006269F8">
        <w:rPr>
          <w:rFonts w:ascii="Arial Narrow" w:hAnsi="Arial Narrow" w:cs="Arial"/>
        </w:rPr>
        <w:t xml:space="preserve"> </w:t>
      </w:r>
      <w:proofErr w:type="spellStart"/>
      <w:r w:rsidRPr="006269F8">
        <w:rPr>
          <w:rFonts w:ascii="Arial Narrow" w:hAnsi="Arial Narrow" w:cs="Arial"/>
        </w:rPr>
        <w:t>grid</w:t>
      </w:r>
      <w:proofErr w:type="spellEnd"/>
      <w:r w:rsidRPr="006269F8">
        <w:rPr>
          <w:rStyle w:val="Odwoanieprzypisudolnego"/>
          <w:rFonts w:ascii="Arial Narrow" w:hAnsi="Arial Narrow" w:cs="Arial"/>
        </w:rPr>
        <w:footnoteReference w:id="1"/>
      </w:r>
      <w:r w:rsidRPr="006269F8">
        <w:rPr>
          <w:rFonts w:ascii="Arial Narrow" w:hAnsi="Arial Narrow" w:cs="Arial"/>
        </w:rPr>
        <w:t xml:space="preserve"> oraz Projekt - Zawiadomienie Komisji w sprawie pojęcia pomocy państwa w rozumieniu art. 107 ust. 1 TFUE</w:t>
      </w:r>
      <w:r w:rsidRPr="006269F8">
        <w:rPr>
          <w:rStyle w:val="Odwoanieprzypisudolnego"/>
          <w:rFonts w:ascii="Arial Narrow" w:hAnsi="Arial Narrow" w:cs="Arial"/>
        </w:rPr>
        <w:footnoteReference w:id="2"/>
      </w:r>
      <w:r w:rsidRPr="006269F8">
        <w:rPr>
          <w:rFonts w:ascii="Arial Narrow" w:hAnsi="Arial Narrow" w:cs="Arial"/>
        </w:rPr>
        <w:t>.</w:t>
      </w:r>
    </w:p>
    <w:p w:rsidR="006B4C28" w:rsidRDefault="006B4C28" w:rsidP="006B4C28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6B4C28" w:rsidRPr="0080316E" w:rsidRDefault="006B4C28" w:rsidP="00015EEC">
      <w:pPr>
        <w:pStyle w:val="Tekstpodstawowy"/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015EEC">
        <w:rPr>
          <w:rFonts w:ascii="Arial Narrow" w:hAnsi="Arial Narrow" w:cs="Arial"/>
        </w:rPr>
        <w:t xml:space="preserve">Pomocny może okazać  się również  </w:t>
      </w:r>
      <w:r w:rsidRPr="0080316E">
        <w:rPr>
          <w:rFonts w:ascii="Arial Narrow" w:hAnsi="Arial Narrow" w:cs="Arial"/>
        </w:rPr>
        <w:t xml:space="preserve">materiał </w:t>
      </w:r>
      <w:r w:rsidR="00015EEC">
        <w:rPr>
          <w:rFonts w:ascii="Arial Narrow" w:hAnsi="Arial Narrow" w:cs="Arial"/>
        </w:rPr>
        <w:t xml:space="preserve"> KE  z</w:t>
      </w:r>
      <w:r w:rsidRPr="0080316E">
        <w:rPr>
          <w:rFonts w:ascii="Arial Narrow" w:hAnsi="Arial Narrow" w:cs="Arial"/>
        </w:rPr>
        <w:t xml:space="preserve"> odpowiedzi</w:t>
      </w:r>
      <w:r w:rsidR="00015EEC">
        <w:rPr>
          <w:rFonts w:ascii="Arial Narrow" w:hAnsi="Arial Narrow" w:cs="Arial"/>
        </w:rPr>
        <w:t xml:space="preserve">ami  na  najczęściej zadawane  pytania w zakresie Rozporządzenia GBER: </w:t>
      </w:r>
      <w:r w:rsidRPr="0080316E">
        <w:rPr>
          <w:rFonts w:ascii="Arial Narrow" w:hAnsi="Arial Narrow" w:cs="Arial"/>
        </w:rPr>
        <w:t>http://ec.europa.eu/competition/state_aid/legislation/practical_guide_gber_en.pdf</w:t>
      </w:r>
      <w:r>
        <w:rPr>
          <w:rFonts w:ascii="Arial Narrow" w:hAnsi="Arial Narrow" w:cs="Arial"/>
        </w:rPr>
        <w:t>)</w:t>
      </w:r>
    </w:p>
    <w:p w:rsidR="00086DD1" w:rsidRDefault="00086DD1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D56289" w:rsidRDefault="00D56289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Jeśli wykazano poprawnie, że w projekcie nie występuje pomoc publiczna, poziom </w:t>
      </w:r>
      <w:r w:rsidRPr="006269F8">
        <w:rPr>
          <w:rFonts w:ascii="Arial Narrow" w:hAnsi="Arial Narrow" w:cs="Arial"/>
          <w:b/>
        </w:rPr>
        <w:t xml:space="preserve">dofinansowania z EFRR </w:t>
      </w:r>
      <w:r w:rsidRPr="006269F8">
        <w:rPr>
          <w:rFonts w:ascii="Arial Narrow" w:hAnsi="Arial Narrow" w:cs="Arial"/>
        </w:rPr>
        <w:t>obliczany jest zgodnie z art. 61 Rozporządzenia 1303/2013, tj. za pomocą wskaźnika luki w finansowaniu</w:t>
      </w:r>
      <w:r w:rsidRPr="006269F8">
        <w:rPr>
          <w:rStyle w:val="Odwoanieprzypisudolnego"/>
          <w:rFonts w:ascii="Arial Narrow" w:hAnsi="Arial Narrow" w:cs="Arial"/>
        </w:rPr>
        <w:footnoteReference w:id="3"/>
      </w:r>
      <w:r w:rsidRPr="006269F8">
        <w:rPr>
          <w:rFonts w:ascii="Arial Narrow" w:hAnsi="Arial Narrow" w:cs="Arial"/>
        </w:rPr>
        <w:t>.</w:t>
      </w:r>
    </w:p>
    <w:p w:rsidR="00537C6C" w:rsidRDefault="00537C6C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6B4C28" w:rsidRPr="009B6BEA" w:rsidRDefault="006B4C28" w:rsidP="006B4C2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9B6BEA">
        <w:rPr>
          <w:rFonts w:ascii="Arial Narrow" w:hAnsi="Arial Narrow" w:cs="Arial"/>
        </w:rPr>
        <w:t xml:space="preserve"> projek</w:t>
      </w:r>
      <w:r>
        <w:rPr>
          <w:rFonts w:ascii="Arial Narrow" w:hAnsi="Arial Narrow" w:cs="Arial"/>
        </w:rPr>
        <w:t>tach, w których</w:t>
      </w:r>
      <w:r w:rsidR="009B6BEA">
        <w:rPr>
          <w:rFonts w:ascii="Arial Narrow" w:hAnsi="Arial Narrow" w:cs="Arial"/>
        </w:rPr>
        <w:t xml:space="preserve"> występuje </w:t>
      </w:r>
      <w:r w:rsidR="00537C6C" w:rsidRPr="009B6BEA">
        <w:rPr>
          <w:rFonts w:ascii="Arial Narrow" w:hAnsi="Arial Narrow" w:cs="Arial"/>
          <w:b/>
        </w:rPr>
        <w:t>regionalna pomoc inwestycyjna</w:t>
      </w:r>
      <w:r w:rsidR="009B6BE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zgodnie z art. 14 ust. 12 GBER i</w:t>
      </w:r>
      <w:r w:rsidRPr="006B4C28">
        <w:rPr>
          <w:rFonts w:ascii="Arial Narrow" w:hAnsi="Arial Narrow" w:cs="Arial"/>
        </w:rPr>
        <w:t>ntensywność pomocy wyrażona jako ekwiwalent dotacji brutto</w:t>
      </w:r>
      <w:r w:rsidR="00034E0D">
        <w:rPr>
          <w:rStyle w:val="Odwoanieprzypisudolnego"/>
          <w:rFonts w:ascii="Arial Narrow" w:hAnsi="Arial Narrow"/>
        </w:rPr>
        <w:footnoteReference w:id="4"/>
      </w:r>
      <w:r w:rsidRPr="006B4C28">
        <w:rPr>
          <w:rFonts w:ascii="Arial Narrow" w:hAnsi="Arial Narrow" w:cs="Arial"/>
        </w:rPr>
        <w:t xml:space="preserve"> nie przekracza maksymalnej intensywności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pomocy określonej w mapie pomocy regionalnej i obowiązującej w dniu przyznania pomocy na danym obszarze. W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przypadkach gdy intensywność pomocy jest obliczana na podstawie ust. 4 lit. c)</w:t>
      </w:r>
      <w:r>
        <w:rPr>
          <w:rFonts w:ascii="Arial Narrow" w:hAnsi="Arial Narrow" w:cs="Arial"/>
        </w:rPr>
        <w:t xml:space="preserve"> GBER</w:t>
      </w:r>
      <w:r w:rsidRPr="006B4C28">
        <w:rPr>
          <w:rFonts w:ascii="Arial Narrow" w:hAnsi="Arial Narrow" w:cs="Arial"/>
        </w:rPr>
        <w:t>, maksymalna intensywność pomocy nie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może przekroczyć najbardziej korzystnej kwoty wynikającej z zastosowania tej intensywności na podstawie kosztów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 xml:space="preserve">inwestycji lub kosztów płacy. </w:t>
      </w:r>
    </w:p>
    <w:p w:rsidR="00537C6C" w:rsidRDefault="00537C6C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7A432E" w:rsidRDefault="004B5CC7" w:rsidP="006B4C2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zakresie pozostałych podstaw udzielania pomocy publicznej w ramach przedmiotowego Konkursu - j</w:t>
      </w:r>
      <w:r w:rsidR="00D56289" w:rsidRPr="006269F8">
        <w:rPr>
          <w:rFonts w:ascii="Arial Narrow" w:hAnsi="Arial Narrow" w:cs="Arial"/>
        </w:rPr>
        <w:t xml:space="preserve">eśli analiza w oparciu o </w:t>
      </w:r>
      <w:r w:rsidR="00D56289" w:rsidRPr="006269F8">
        <w:rPr>
          <w:rFonts w:ascii="Arial Narrow" w:hAnsi="Arial Narrow" w:cs="Arial"/>
          <w:i/>
        </w:rPr>
        <w:t xml:space="preserve">state </w:t>
      </w:r>
      <w:proofErr w:type="spellStart"/>
      <w:r w:rsidR="00D56289" w:rsidRPr="006269F8">
        <w:rPr>
          <w:rFonts w:ascii="Arial Narrow" w:hAnsi="Arial Narrow" w:cs="Arial"/>
          <w:i/>
        </w:rPr>
        <w:t>aid</w:t>
      </w:r>
      <w:proofErr w:type="spellEnd"/>
      <w:r w:rsidR="00D56289" w:rsidRPr="006269F8">
        <w:rPr>
          <w:rFonts w:ascii="Arial Narrow" w:hAnsi="Arial Narrow" w:cs="Arial"/>
          <w:i/>
        </w:rPr>
        <w:t xml:space="preserve"> </w:t>
      </w:r>
      <w:proofErr w:type="spellStart"/>
      <w:r w:rsidR="00D56289" w:rsidRPr="006269F8">
        <w:rPr>
          <w:rFonts w:ascii="Arial Narrow" w:hAnsi="Arial Narrow" w:cs="Arial"/>
          <w:i/>
        </w:rPr>
        <w:t>grid</w:t>
      </w:r>
      <w:proofErr w:type="spellEnd"/>
      <w:r w:rsidR="00D56289" w:rsidRPr="006269F8">
        <w:rPr>
          <w:rFonts w:ascii="Arial Narrow" w:hAnsi="Arial Narrow" w:cs="Arial"/>
          <w:i/>
        </w:rPr>
        <w:t xml:space="preserve"> </w:t>
      </w:r>
      <w:r w:rsidR="00D56289" w:rsidRPr="006269F8">
        <w:rPr>
          <w:rFonts w:ascii="Arial Narrow" w:hAnsi="Arial Narrow" w:cs="Arial"/>
        </w:rPr>
        <w:t>wykaże, że w projekcie występuje pomoc publiczna, należy zastosować poniższe kroki: Krok I: wyliczenie maksymalnej wielkości pomocy inwestycyjnej zgodnie z metodologią opisaną w rozporządzeniu w sprawie wyłączeń blokowych</w:t>
      </w:r>
      <w:r w:rsidR="00D56289" w:rsidRPr="006269F8">
        <w:rPr>
          <w:rStyle w:val="Odwoanieprzypisudolnego"/>
          <w:rFonts w:ascii="Arial Narrow" w:hAnsi="Arial Narrow" w:cs="Arial"/>
        </w:rPr>
        <w:footnoteReference w:id="5"/>
      </w:r>
      <w:r w:rsidR="00D56289" w:rsidRPr="006269F8">
        <w:rPr>
          <w:rFonts w:ascii="Arial Narrow" w:hAnsi="Arial Narrow" w:cs="Arial"/>
          <w:position w:val="9"/>
        </w:rPr>
        <w:t xml:space="preserve"> </w:t>
      </w:r>
      <w:r w:rsidR="00D56289" w:rsidRPr="006269F8">
        <w:rPr>
          <w:rFonts w:ascii="Arial Narrow" w:hAnsi="Arial Narrow" w:cs="Arial"/>
        </w:rPr>
        <w:t xml:space="preserve">(General Block </w:t>
      </w:r>
      <w:proofErr w:type="spellStart"/>
      <w:r w:rsidR="00D56289" w:rsidRPr="006269F8">
        <w:rPr>
          <w:rFonts w:ascii="Arial Narrow" w:hAnsi="Arial Narrow" w:cs="Arial"/>
        </w:rPr>
        <w:t>Exemption</w:t>
      </w:r>
      <w:proofErr w:type="spellEnd"/>
      <w:r w:rsidR="00D56289" w:rsidRPr="006269F8">
        <w:rPr>
          <w:rFonts w:ascii="Arial Narrow" w:hAnsi="Arial Narrow" w:cs="Arial"/>
        </w:rPr>
        <w:t xml:space="preserve"> </w:t>
      </w:r>
      <w:proofErr w:type="spellStart"/>
      <w:r w:rsidR="00D56289" w:rsidRPr="006269F8">
        <w:rPr>
          <w:rFonts w:ascii="Arial Narrow" w:hAnsi="Arial Narrow" w:cs="Arial"/>
        </w:rPr>
        <w:t>Regulation</w:t>
      </w:r>
      <w:proofErr w:type="spellEnd"/>
      <w:r w:rsidR="00D56289" w:rsidRPr="006269F8">
        <w:rPr>
          <w:rFonts w:ascii="Arial Narrow" w:hAnsi="Arial Narrow" w:cs="Arial"/>
        </w:rPr>
        <w:t xml:space="preserve"> – „GBER”); oraz Krok II: obliczenie wielkości dofinansowania z EFRR.</w:t>
      </w:r>
    </w:p>
    <w:p w:rsidR="00086DD1" w:rsidRDefault="00086DD1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 w:cs="Arial"/>
        </w:rPr>
      </w:pPr>
    </w:p>
    <w:p w:rsidR="00D56289" w:rsidRDefault="00D56289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</w:rPr>
      </w:pPr>
      <w:r w:rsidRPr="00086DD1">
        <w:rPr>
          <w:rFonts w:ascii="Arial Narrow" w:hAnsi="Arial Narrow"/>
          <w:u w:val="single"/>
        </w:rPr>
        <w:lastRenderedPageBreak/>
        <w:t>UWAGA:</w:t>
      </w:r>
      <w:r w:rsidRPr="006269F8">
        <w:rPr>
          <w:rFonts w:ascii="Arial Narrow" w:hAnsi="Arial Narrow"/>
        </w:rPr>
        <w:t xml:space="preserve"> w wytycznych stosowane są dwa pojęcia, które nie są tożsame: „zysk operacyjny” liczony zgodnie z regulacją GBER i opisany w Kroku I, punkcie 2; oraz „zysk netto” liczony zgodnie z krajowymi standardami rachunkowości i opisany w Załączniku.</w:t>
      </w:r>
    </w:p>
    <w:p w:rsidR="00086DD1" w:rsidRDefault="00086DD1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</w:rPr>
      </w:pPr>
    </w:p>
    <w:p w:rsidR="00D56289" w:rsidRPr="00086DD1" w:rsidRDefault="00D56289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Krok</w:t>
      </w:r>
      <w:r w:rsidR="00ED0F95">
        <w:rPr>
          <w:rFonts w:ascii="Arial Narrow" w:hAnsi="Arial Narrow"/>
          <w:b/>
        </w:rPr>
        <w:t xml:space="preserve"> I: Obliczenie maksymalnej wiel</w:t>
      </w:r>
      <w:r w:rsidRPr="00086DD1">
        <w:rPr>
          <w:rFonts w:ascii="Arial Narrow" w:hAnsi="Arial Narrow"/>
          <w:b/>
        </w:rPr>
        <w:t>kości dofinansowania ze publicznych (EFRR + środki krajowe) w oparciu o metodologię GBER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2"/>
        </w:numPr>
        <w:tabs>
          <w:tab w:val="left" w:pos="934"/>
        </w:tabs>
        <w:spacing w:after="60"/>
        <w:ind w:right="216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dokonać analizy finansowej, dokonując projekcji kosztów i przychodów w projekcie, w oparciu o następujące założenia</w:t>
      </w:r>
      <w:r w:rsidRPr="006269F8">
        <w:rPr>
          <w:rFonts w:ascii="Arial Narrow" w:hAnsi="Arial Narrow" w:cs="Arial"/>
          <w:spacing w:val="-10"/>
        </w:rPr>
        <w:t xml:space="preserve"> </w:t>
      </w:r>
      <w:r w:rsidRPr="006269F8">
        <w:rPr>
          <w:rFonts w:ascii="Arial Narrow" w:hAnsi="Arial Narrow" w:cs="Arial"/>
        </w:rPr>
        <w:t>ogólne: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before="1" w:after="60"/>
        <w:ind w:left="933" w:right="215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finansowa powinna opierać się na podejściu przyrostowym (zgodnie z metodą różnicowego modelu finansowego), tj. na podstawie różnic w kosztach i przychodach między scenariuszem uwzględniającym projekt (wariant „zrobić coś”) a scenariuszem alternatywnym nieuwzględniającym</w:t>
      </w:r>
      <w:r w:rsidRPr="006269F8">
        <w:rPr>
          <w:rFonts w:ascii="Arial Narrow" w:hAnsi="Arial Narrow" w:cs="Arial"/>
          <w:spacing w:val="-23"/>
        </w:rPr>
        <w:t xml:space="preserve"> </w:t>
      </w:r>
      <w:r w:rsidRPr="006269F8">
        <w:rPr>
          <w:rFonts w:ascii="Arial Narrow" w:hAnsi="Arial Narrow" w:cs="Arial"/>
        </w:rPr>
        <w:t>projektu.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2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finansowa powinna być sporządzona w sposób skonsolidowany, dla Beneficjenta i Operatora infrastruktury, jeśli są to odrębne podmioty (wzajemne przepływy należy</w:t>
      </w:r>
      <w:r w:rsidRPr="006269F8">
        <w:rPr>
          <w:rFonts w:ascii="Arial Narrow" w:hAnsi="Arial Narrow" w:cs="Arial"/>
          <w:spacing w:val="-32"/>
        </w:rPr>
        <w:t xml:space="preserve"> </w:t>
      </w:r>
      <w:r w:rsidRPr="006269F8">
        <w:rPr>
          <w:rFonts w:ascii="Arial Narrow" w:hAnsi="Arial Narrow" w:cs="Arial"/>
        </w:rPr>
        <w:t>wyeliminować).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3"/>
          <w:tab w:val="left" w:pos="934"/>
        </w:tabs>
        <w:spacing w:after="60"/>
        <w:ind w:left="93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powinna być sporządzona w cenach realnych, bez uwzględnienia</w:t>
      </w:r>
      <w:r w:rsidRPr="006269F8">
        <w:rPr>
          <w:rFonts w:ascii="Arial Narrow" w:hAnsi="Arial Narrow" w:cs="Arial"/>
          <w:spacing w:val="-21"/>
        </w:rPr>
        <w:t xml:space="preserve"> </w:t>
      </w:r>
      <w:r w:rsidRPr="006269F8">
        <w:rPr>
          <w:rFonts w:ascii="Arial Narrow" w:hAnsi="Arial Narrow" w:cs="Arial"/>
        </w:rPr>
        <w:t>inflacji.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1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powinna być sporządzona w</w:t>
      </w:r>
      <w:r w:rsidR="00086DD1">
        <w:rPr>
          <w:rFonts w:ascii="Arial Narrow" w:hAnsi="Arial Narrow" w:cs="Arial"/>
        </w:rPr>
        <w:t xml:space="preserve"> cenach netto (bez podatku VAT)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before="3" w:after="60"/>
        <w:ind w:left="933" w:right="222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Do obliczenia wartości zdyskontowanych należy zastosować stopę oprocentowania wykorzystywaną do obliczenia wartości pomocy</w:t>
      </w:r>
      <w:r w:rsidRPr="006269F8">
        <w:rPr>
          <w:rFonts w:ascii="Arial Narrow" w:hAnsi="Arial Narrow" w:cs="Arial"/>
          <w:spacing w:val="-13"/>
        </w:rPr>
        <w:t xml:space="preserve"> </w:t>
      </w:r>
      <w:r w:rsidRPr="006269F8">
        <w:rPr>
          <w:rFonts w:ascii="Arial Narrow" w:hAnsi="Arial Narrow" w:cs="Arial"/>
        </w:rPr>
        <w:t>inwestycyjnej.</w:t>
      </w:r>
      <w:r w:rsidRPr="006269F8">
        <w:rPr>
          <w:rStyle w:val="Odwoanieprzypisudolnego"/>
          <w:rFonts w:ascii="Arial Narrow" w:hAnsi="Arial Narrow" w:cs="Arial"/>
        </w:rPr>
        <w:footnoteReference w:id="6"/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1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Analiza powinna być przeprowadzona w okresie odniesienia równemu cyklowi życia inwestycji definiowanym jako okres ekonomicznej użyteczności danych aktywów (okres amortyzacji </w:t>
      </w:r>
      <w:r w:rsidRPr="006269F8">
        <w:rPr>
          <w:rFonts w:ascii="Arial Narrow" w:hAnsi="Arial Narrow" w:cs="Arial"/>
          <w:u w:val="single"/>
        </w:rPr>
        <w:t xml:space="preserve">zasadniczych aktywów </w:t>
      </w:r>
      <w:r w:rsidRPr="006269F8">
        <w:rPr>
          <w:rFonts w:ascii="Arial Narrow" w:hAnsi="Arial Narrow" w:cs="Arial"/>
        </w:rPr>
        <w:t>(dominujących w projekcie) będących przedmiotem inwestycji). W przypadku aktywów o różnym okresie amortyzacji, należy brać pod uwagę najdłuższy z tych okresów. Beneficjent jest zobowiązany do sprecyzowania, jakiego rodzaju aktywa będą przedmiotem projektu i uzasadnienia długości cyklu życia inwestycji przyjętej na potrzeby kalkulacji zysku</w:t>
      </w:r>
      <w:r w:rsidRPr="006269F8">
        <w:rPr>
          <w:rFonts w:ascii="Arial Narrow" w:hAnsi="Arial Narrow" w:cs="Arial"/>
          <w:spacing w:val="-24"/>
        </w:rPr>
        <w:t xml:space="preserve"> </w:t>
      </w:r>
      <w:r w:rsidRPr="006269F8">
        <w:rPr>
          <w:rFonts w:ascii="Arial Narrow" w:hAnsi="Arial Narrow" w:cs="Arial"/>
        </w:rPr>
        <w:t>operacyjnego.</w:t>
      </w:r>
    </w:p>
    <w:p w:rsidR="00D56289" w:rsidRPr="006269F8" w:rsidRDefault="00D56289" w:rsidP="00D56289">
      <w:pPr>
        <w:pStyle w:val="Akapitzlist"/>
        <w:widowControl w:val="0"/>
        <w:tabs>
          <w:tab w:val="left" w:pos="934"/>
        </w:tabs>
        <w:spacing w:after="60"/>
        <w:ind w:left="933" w:right="210"/>
        <w:contextualSpacing w:val="0"/>
        <w:jc w:val="both"/>
        <w:rPr>
          <w:rFonts w:ascii="Arial Narrow" w:hAnsi="Arial Narrow" w:cs="Arial"/>
        </w:rPr>
      </w:pPr>
    </w:p>
    <w:p w:rsidR="00D56289" w:rsidRDefault="00D56289" w:rsidP="00D56289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spacing w:before="49" w:after="6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zastosować wzór z GBER dotyczący pomocy inwestycyjnej dla cyklu życia</w:t>
      </w:r>
      <w:r w:rsidRPr="006269F8">
        <w:rPr>
          <w:rFonts w:ascii="Arial Narrow" w:hAnsi="Arial Narrow" w:cs="Arial"/>
          <w:spacing w:val="-28"/>
        </w:rPr>
        <w:t xml:space="preserve"> </w:t>
      </w:r>
      <w:r w:rsidRPr="006269F8">
        <w:rPr>
          <w:rFonts w:ascii="Arial Narrow" w:hAnsi="Arial Narrow" w:cs="Arial"/>
        </w:rPr>
        <w:t>inwestycji.</w:t>
      </w:r>
    </w:p>
    <w:p w:rsidR="00D56289" w:rsidRPr="006269F8" w:rsidRDefault="00D56289" w:rsidP="00D56289">
      <w:pPr>
        <w:pStyle w:val="Nagwek1"/>
        <w:spacing w:after="60"/>
        <w:rPr>
          <w:rFonts w:ascii="Arial Narrow" w:hAnsi="Arial Narrow" w:cs="Arial"/>
          <w:sz w:val="24"/>
          <w:szCs w:val="24"/>
        </w:rPr>
      </w:pPr>
      <w:proofErr w:type="spellStart"/>
      <w:r w:rsidRPr="006269F8">
        <w:rPr>
          <w:rFonts w:ascii="Arial Narrow" w:hAnsi="Arial Narrow" w:cs="Arial"/>
          <w:sz w:val="24"/>
          <w:szCs w:val="24"/>
        </w:rPr>
        <w:t>MaxPI</w:t>
      </w:r>
      <w:proofErr w:type="spellEnd"/>
      <w:r w:rsidRPr="006269F8">
        <w:rPr>
          <w:rFonts w:ascii="Arial Narrow" w:hAnsi="Arial Narrow" w:cs="Arial"/>
          <w:sz w:val="24"/>
          <w:szCs w:val="24"/>
        </w:rPr>
        <w:t xml:space="preserve"> = KK(GBER) – ZO</w:t>
      </w:r>
    </w:p>
    <w:p w:rsidR="00D56289" w:rsidRDefault="00D56289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Gdzie:</w:t>
      </w:r>
    </w:p>
    <w:p w:rsidR="00D56289" w:rsidRPr="006269F8" w:rsidRDefault="00D56289" w:rsidP="00D56289">
      <w:pPr>
        <w:pStyle w:val="Tekstpodstawowy"/>
        <w:spacing w:before="10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proofErr w:type="spellStart"/>
      <w:r w:rsidRPr="006269F8">
        <w:rPr>
          <w:rFonts w:ascii="Arial Narrow" w:hAnsi="Arial Narrow" w:cs="Arial"/>
        </w:rPr>
        <w:t>MaxPI</w:t>
      </w:r>
      <w:proofErr w:type="spellEnd"/>
      <w:r w:rsidRPr="006269F8">
        <w:rPr>
          <w:rFonts w:ascii="Arial Narrow" w:hAnsi="Arial Narrow" w:cs="Arial"/>
        </w:rPr>
        <w:t xml:space="preserve"> - Maksymalna wielkość pomocy inwestycyjnej (zdyskontowana</w:t>
      </w:r>
      <w:r w:rsidRPr="006269F8">
        <w:rPr>
          <w:rStyle w:val="Odwoanieprzypisudolnego"/>
          <w:rFonts w:ascii="Arial Narrow" w:hAnsi="Arial Narrow" w:cs="Arial"/>
        </w:rPr>
        <w:footnoteReference w:id="7"/>
      </w:r>
      <w:r w:rsidRPr="006269F8">
        <w:rPr>
          <w:rFonts w:ascii="Arial Narrow" w:hAnsi="Arial Narrow" w:cs="Arial"/>
        </w:rPr>
        <w:t>)</w:t>
      </w:r>
    </w:p>
    <w:p w:rsidR="00086DD1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KK (GBER) - Zdyskontowane koszty kwalifikowalne wg GBER (patrz: definicja poniżej) </w:t>
      </w: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ZO - Zdyskontowany prognozowany zysk operacyjny (patrz: poniżej)</w:t>
      </w:r>
    </w:p>
    <w:p w:rsidR="00D56289" w:rsidRPr="006269F8" w:rsidRDefault="00D56289" w:rsidP="00D56289">
      <w:pPr>
        <w:pStyle w:val="Tekstpodstawowy"/>
        <w:spacing w:before="1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Obliczenie kosztów kwalifikowalnych zgodnie z rozporządzeniem w sprawie wyłączeń blokowych (GBER):</w:t>
      </w:r>
    </w:p>
    <w:p w:rsidR="00D56289" w:rsidRPr="006269F8" w:rsidRDefault="00D56289" w:rsidP="00D56289">
      <w:pPr>
        <w:pStyle w:val="Akapitzlist"/>
        <w:tabs>
          <w:tab w:val="left" w:pos="833"/>
          <w:tab w:val="left" w:pos="834"/>
        </w:tabs>
        <w:spacing w:after="60"/>
        <w:ind w:right="231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tabs>
          <w:tab w:val="left" w:pos="833"/>
          <w:tab w:val="left" w:pos="834"/>
        </w:tabs>
        <w:spacing w:after="60"/>
        <w:ind w:left="1080" w:right="231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0"/>
          <w:numId w:val="3"/>
        </w:numPr>
        <w:spacing w:after="6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w przypadku </w:t>
      </w:r>
      <w:r w:rsidRPr="006269F8">
        <w:rPr>
          <w:rFonts w:ascii="Arial Narrow" w:hAnsi="Arial Narrow" w:cs="Arial"/>
          <w:b/>
        </w:rPr>
        <w:t>pomocy inwestycyjnej na infrastrukturę lokalną</w:t>
      </w:r>
      <w:r w:rsidRPr="006269F8">
        <w:rPr>
          <w:rFonts w:ascii="Arial Narrow" w:hAnsi="Arial Narrow" w:cs="Arial"/>
        </w:rPr>
        <w:t>, zgodnie z art. 56 ust. 5 GBER:</w:t>
      </w:r>
    </w:p>
    <w:p w:rsidR="003D11D6" w:rsidRDefault="003D11D6" w:rsidP="00D56289">
      <w:pPr>
        <w:pStyle w:val="Akapitzlist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spacing w:after="60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Za koszty kwalifikowalne uznaje się koszty inwestycji w rzeczowe aktywa trwałe oraz wartości niematerialne i prawne. </w:t>
      </w:r>
    </w:p>
    <w:p w:rsidR="00D56289" w:rsidRPr="006269F8" w:rsidRDefault="00D56289" w:rsidP="00D56289">
      <w:pPr>
        <w:pStyle w:val="Tekstpodstawowy"/>
        <w:spacing w:before="7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before="1" w:after="60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Prognozowanie poziomu zysku</w:t>
      </w:r>
      <w:r w:rsidRPr="00942991">
        <w:rPr>
          <w:rFonts w:ascii="Arial Narrow" w:hAnsi="Arial Narrow" w:cs="Arial"/>
          <w:b/>
          <w:spacing w:val="-16"/>
        </w:rPr>
        <w:t xml:space="preserve"> </w:t>
      </w:r>
      <w:r w:rsidRPr="00942991">
        <w:rPr>
          <w:rFonts w:ascii="Arial Narrow" w:hAnsi="Arial Narrow" w:cs="Arial"/>
          <w:b/>
        </w:rPr>
        <w:t>operacyjnego</w:t>
      </w:r>
    </w:p>
    <w:p w:rsidR="00086DD1" w:rsidRDefault="00086DD1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obliczyć poziom zysku operacyjnego w ujęciu przyrostowym w oparciu o wzór:</w:t>
      </w: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Zysk operacyjny = przychody operacyjne – koszty operacyjne</w:t>
      </w: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Przychody operacyjne to przychody od użytkowników infrastruktury (nie obejmują dotacji operacyjnych)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833" w:right="235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operacyjne (zgodnie z Art. 2(39) GBER) obejmują koszty, takie jak koszty personelu, materiałów, zakontraktowanych usług, komunikacji, energii, konserwacji, czynszu, administracji, lecz nie uwzględniają kosztów amortyzacji i kosztów finansowania, jeśli zostały one objęte zakresem pomocy inwestycyjnej.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 w:right="236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Nie uwzględnia się wartości rezydualnej, ponieważ zakłada się, że okres odniesienia będzie równoznaczny z okresem ekonomicznej użyteczności aktywów oraz, że projekt nie będzie generował przychodów netto po okresie</w:t>
      </w:r>
      <w:r w:rsidRPr="006269F8">
        <w:rPr>
          <w:rFonts w:ascii="Arial Narrow" w:hAnsi="Arial Narrow" w:cs="Arial"/>
          <w:spacing w:val="-9"/>
        </w:rPr>
        <w:t xml:space="preserve"> </w:t>
      </w:r>
      <w:r w:rsidRPr="006269F8">
        <w:rPr>
          <w:rFonts w:ascii="Arial Narrow" w:hAnsi="Arial Narrow" w:cs="Arial"/>
        </w:rPr>
        <w:t>odniesienia.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wyniku uzyskanych obliczeń i podstawienia wartości do wzoru możliwe są dwie sytuacje: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 w:right="234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Przypadek I, w którym zysk operacyjny jest mniejszy lub równy 0. W takiej sytuacji maksymalna wielkość pomocy inwestycyjnej równa jest kosztom kwalifikowalnym według GBER (wartości zdyskontowane).</w:t>
      </w:r>
    </w:p>
    <w:p w:rsidR="00D56289" w:rsidRPr="006269F8" w:rsidRDefault="00D56289" w:rsidP="00D56289">
      <w:pPr>
        <w:pStyle w:val="Tekstpodstawowy"/>
        <w:spacing w:before="1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821" w:right="235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Przypadek II, w którym zysk operacyjny jest większy od 0. W takiej sytuacji, maksymalna wielkość pomocy inwestycyjnej równa jest kosztom kwalifikowalnym według GBER pomniejszonym o poziom zysku operacyjnego (wartości zdyskontowane).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before="1" w:after="60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Należy przedstawić maksymalną wielkość pomocy inwestycyjnej jako wartość</w:t>
      </w:r>
      <w:r w:rsidRPr="00942991">
        <w:rPr>
          <w:rFonts w:ascii="Arial Narrow" w:hAnsi="Arial Narrow" w:cs="Arial"/>
          <w:b/>
          <w:spacing w:val="-30"/>
        </w:rPr>
        <w:t xml:space="preserve"> </w:t>
      </w:r>
      <w:r w:rsidRPr="00942991">
        <w:rPr>
          <w:rFonts w:ascii="Arial Narrow" w:hAnsi="Arial Narrow" w:cs="Arial"/>
          <w:b/>
        </w:rPr>
        <w:t>niezdyskontowaną.</w:t>
      </w:r>
    </w:p>
    <w:p w:rsidR="00D56289" w:rsidRDefault="00D56289" w:rsidP="00D56289">
      <w:pPr>
        <w:pStyle w:val="Tekstpodstawowy"/>
        <w:spacing w:before="58" w:after="60"/>
        <w:ind w:left="833" w:right="921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58"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zastosować wzór:</w:t>
      </w:r>
    </w:p>
    <w:p w:rsidR="00D56289" w:rsidRPr="00C92426" w:rsidRDefault="00D56289" w:rsidP="00D56289">
      <w:pPr>
        <w:pStyle w:val="Nagwek1"/>
        <w:spacing w:after="60"/>
        <w:ind w:left="833"/>
        <w:rPr>
          <w:rFonts w:ascii="Arial Narrow" w:hAnsi="Arial Narrow" w:cs="Arial"/>
          <w:sz w:val="24"/>
          <w:szCs w:val="24"/>
          <w:lang w:val="en-US"/>
        </w:rPr>
      </w:pPr>
      <w:proofErr w:type="spellStart"/>
      <w:r w:rsidRPr="00C92426">
        <w:rPr>
          <w:rFonts w:ascii="Arial Narrow" w:hAnsi="Arial Narrow" w:cs="Arial"/>
          <w:sz w:val="24"/>
          <w:szCs w:val="24"/>
          <w:lang w:val="en-US"/>
        </w:rPr>
        <w:t>MaxPIn</w:t>
      </w:r>
      <w:proofErr w:type="spellEnd"/>
      <w:r w:rsidRPr="00C92426">
        <w:rPr>
          <w:rFonts w:ascii="Arial Narrow" w:hAnsi="Arial Narrow" w:cs="Arial"/>
          <w:sz w:val="24"/>
          <w:szCs w:val="24"/>
          <w:lang w:val="en-US"/>
        </w:rPr>
        <w:t xml:space="preserve"> =KK(GBER)n * </w:t>
      </w:r>
      <w:proofErr w:type="spellStart"/>
      <w:r w:rsidRPr="00C92426">
        <w:rPr>
          <w:rFonts w:ascii="Arial Narrow" w:hAnsi="Arial Narrow" w:cs="Arial"/>
          <w:sz w:val="24"/>
          <w:szCs w:val="24"/>
          <w:lang w:val="en-US"/>
        </w:rPr>
        <w:t>MaxPI</w:t>
      </w:r>
      <w:proofErr w:type="spellEnd"/>
      <w:r w:rsidRPr="00C92426">
        <w:rPr>
          <w:rFonts w:ascii="Arial Narrow" w:hAnsi="Arial Narrow" w:cs="Arial"/>
          <w:sz w:val="24"/>
          <w:szCs w:val="24"/>
          <w:lang w:val="en-US"/>
        </w:rPr>
        <w:t>/KK(GBER)</w:t>
      </w:r>
    </w:p>
    <w:p w:rsidR="00D56289" w:rsidRPr="00C92426" w:rsidRDefault="00D56289" w:rsidP="00D56289">
      <w:pPr>
        <w:spacing w:before="1" w:after="60"/>
        <w:ind w:right="921"/>
        <w:rPr>
          <w:rFonts w:ascii="Arial Narrow" w:hAnsi="Arial Narrow" w:cs="Arial"/>
          <w:b/>
          <w:lang w:val="en-US"/>
        </w:rPr>
      </w:pPr>
    </w:p>
    <w:p w:rsidR="00D56289" w:rsidRPr="006269F8" w:rsidRDefault="00D56289" w:rsidP="00D56289">
      <w:pPr>
        <w:spacing w:before="1" w:after="60"/>
        <w:ind w:right="921"/>
        <w:rPr>
          <w:rFonts w:ascii="Arial Narrow" w:hAnsi="Arial Narrow" w:cs="Arial"/>
          <w:b/>
        </w:rPr>
      </w:pPr>
      <w:r w:rsidRPr="006269F8">
        <w:rPr>
          <w:rFonts w:ascii="Arial Narrow" w:hAnsi="Arial Narrow" w:cs="Arial"/>
          <w:b/>
        </w:rPr>
        <w:t>Gdzie</w:t>
      </w:r>
    </w:p>
    <w:p w:rsidR="00D56289" w:rsidRPr="006269F8" w:rsidRDefault="00D56289" w:rsidP="00D56289">
      <w:pPr>
        <w:spacing w:after="60"/>
        <w:ind w:right="231"/>
        <w:jc w:val="both"/>
        <w:rPr>
          <w:rFonts w:ascii="Arial Narrow" w:hAnsi="Arial Narrow" w:cs="Arial"/>
          <w:b/>
        </w:rPr>
      </w:pPr>
      <w:proofErr w:type="spellStart"/>
      <w:r w:rsidRPr="006269F8">
        <w:rPr>
          <w:rFonts w:ascii="Arial Narrow" w:hAnsi="Arial Narrow" w:cs="Arial"/>
          <w:b/>
        </w:rPr>
        <w:t>MaxPIn</w:t>
      </w:r>
      <w:proofErr w:type="spellEnd"/>
      <w:r w:rsidRPr="006269F8">
        <w:rPr>
          <w:rFonts w:ascii="Arial Narrow" w:hAnsi="Arial Narrow" w:cs="Arial"/>
          <w:b/>
        </w:rPr>
        <w:t xml:space="preserve"> – maksymalna wartość pomocy inwestycyjnej nominalna (niezdyskontowana) KK(GBER)n – k</w:t>
      </w:r>
      <w:r>
        <w:rPr>
          <w:rFonts w:ascii="Arial Narrow" w:hAnsi="Arial Narrow" w:cs="Arial"/>
          <w:b/>
        </w:rPr>
        <w:t xml:space="preserve">oszty </w:t>
      </w:r>
      <w:proofErr w:type="spellStart"/>
      <w:r>
        <w:rPr>
          <w:rFonts w:ascii="Arial Narrow" w:hAnsi="Arial Narrow" w:cs="Arial"/>
          <w:b/>
        </w:rPr>
        <w:t>kwalifkowalne</w:t>
      </w:r>
      <w:proofErr w:type="spellEnd"/>
      <w:r>
        <w:rPr>
          <w:rFonts w:ascii="Arial Narrow" w:hAnsi="Arial Narrow" w:cs="Arial"/>
          <w:b/>
        </w:rPr>
        <w:t xml:space="preserve"> według GBER</w:t>
      </w:r>
      <w:r w:rsidRPr="006269F8">
        <w:rPr>
          <w:rFonts w:ascii="Arial Narrow" w:hAnsi="Arial Narrow" w:cs="Arial"/>
          <w:b/>
        </w:rPr>
        <w:t xml:space="preserve"> - wartość nominalna </w:t>
      </w:r>
      <w:r>
        <w:rPr>
          <w:rFonts w:ascii="Arial Narrow" w:hAnsi="Arial Narrow" w:cs="Arial"/>
          <w:b/>
        </w:rPr>
        <w:t>(</w:t>
      </w:r>
      <w:r w:rsidRPr="006269F8">
        <w:rPr>
          <w:rFonts w:ascii="Arial Narrow" w:hAnsi="Arial Narrow" w:cs="Arial"/>
          <w:b/>
        </w:rPr>
        <w:t>niezdyskontowana).</w:t>
      </w:r>
    </w:p>
    <w:p w:rsidR="00D56289" w:rsidRPr="006269F8" w:rsidRDefault="00D56289" w:rsidP="00D56289">
      <w:pPr>
        <w:pStyle w:val="Tekstpodstawowy"/>
        <w:spacing w:before="7" w:after="60"/>
        <w:rPr>
          <w:rFonts w:ascii="Arial Narrow" w:hAnsi="Arial Narrow" w:cs="Arial"/>
          <w:b/>
        </w:rPr>
      </w:pPr>
    </w:p>
    <w:p w:rsidR="00D56289" w:rsidRPr="006269F8" w:rsidRDefault="00D56289" w:rsidP="00D56289">
      <w:pPr>
        <w:pStyle w:val="Tekstpodstawowy"/>
        <w:spacing w:after="60"/>
        <w:ind w:right="137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 I, w którym zysk operacyjny jest mniejszy lub równy 0, maksymalna nominalna wielkość pomocy inwestycyjnej równa jest sumie niezdyskontowanych kosztów kwalifikowalnych wg GBER.</w:t>
      </w:r>
    </w:p>
    <w:p w:rsidR="00BA26BB" w:rsidRDefault="00BA26BB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  <w:b/>
        </w:rPr>
      </w:pPr>
    </w:p>
    <w:p w:rsidR="00BA26BB" w:rsidRPr="00D56289" w:rsidRDefault="00BA26BB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  <w:b/>
        </w:rPr>
      </w:pPr>
    </w:p>
    <w:p w:rsidR="00D56289" w:rsidRDefault="00D56289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Krok II: Obliczenie wielkości dofinansowania środkami EFRR</w:t>
      </w:r>
    </w:p>
    <w:p w:rsidR="00086DD1" w:rsidRPr="00086DD1" w:rsidRDefault="00086DD1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</w:p>
    <w:p w:rsidR="000D6444" w:rsidRPr="006269F8" w:rsidRDefault="000D6444" w:rsidP="000D6444">
      <w:pPr>
        <w:pStyle w:val="Akapitzlist"/>
        <w:widowControl w:val="0"/>
        <w:numPr>
          <w:ilvl w:val="2"/>
          <w:numId w:val="1"/>
        </w:numPr>
        <w:tabs>
          <w:tab w:val="left" w:pos="833"/>
          <w:tab w:val="left" w:pos="834"/>
        </w:tabs>
        <w:spacing w:after="60"/>
        <w:ind w:right="12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Aby obliczyć podstawę do wyliczenia maksymalnej dopuszczalnej kwoty pomocy z EFRR należy wyliczyć koszty kwalifikowalne wg GBER oraz według RPO WŁ (niezdyskontowane koszty kwalifikowalne wg GBER należy pomniejszych o niezdyskontowane koszty niekwalifikowalne wg RPO WŁ (np. wartość</w:t>
      </w:r>
      <w:r w:rsidRPr="006269F8">
        <w:rPr>
          <w:rFonts w:ascii="Arial Narrow" w:hAnsi="Arial Narrow" w:cs="Arial"/>
          <w:spacing w:val="-26"/>
        </w:rPr>
        <w:t xml:space="preserve"> </w:t>
      </w:r>
      <w:r w:rsidRPr="006269F8">
        <w:rPr>
          <w:rFonts w:ascii="Arial Narrow" w:hAnsi="Arial Narrow" w:cs="Arial"/>
        </w:rPr>
        <w:t>VAT)).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833" w:right="137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Uzyskaną wartość należy następnie pomnożyć przez stosunek maksymalnej wielkości pomocy inwestycyjnej zdyskontowanej do wielkości kosztów kwalifikowalnych wg GBER zdyskontowanych.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Default="000D6444" w:rsidP="000D6444">
      <w:pPr>
        <w:pStyle w:val="Tekstpodstawowy"/>
        <w:spacing w:before="1" w:after="60"/>
        <w:ind w:left="833" w:right="89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Podstawa do obliczenia kwoty pomocy z EFRR = (KK(GBER)n-KK(niekwalifikowalne wg EFRR))*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6269F8" w:rsidRDefault="000D6444" w:rsidP="000D6444">
      <w:pPr>
        <w:pStyle w:val="Nagwek1"/>
        <w:spacing w:before="5" w:after="60"/>
        <w:ind w:left="833"/>
        <w:rPr>
          <w:rFonts w:ascii="Arial Narrow" w:hAnsi="Arial Narrow" w:cs="Arial"/>
          <w:sz w:val="24"/>
          <w:szCs w:val="24"/>
        </w:rPr>
      </w:pPr>
      <w:proofErr w:type="spellStart"/>
      <w:r w:rsidRPr="006269F8">
        <w:rPr>
          <w:rFonts w:ascii="Arial Narrow" w:hAnsi="Arial Narrow" w:cs="Arial"/>
          <w:sz w:val="24"/>
          <w:szCs w:val="24"/>
        </w:rPr>
        <w:t>MaxPI</w:t>
      </w:r>
      <w:proofErr w:type="spellEnd"/>
      <w:r w:rsidRPr="006269F8">
        <w:rPr>
          <w:rFonts w:ascii="Arial Narrow" w:hAnsi="Arial Narrow" w:cs="Arial"/>
          <w:sz w:val="24"/>
          <w:szCs w:val="24"/>
        </w:rPr>
        <w:t>/KK(GBER)</w:t>
      </w:r>
    </w:p>
    <w:p w:rsidR="00086DD1" w:rsidRPr="00086DD1" w:rsidRDefault="00086DD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942991" w:rsidRDefault="0094299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942991" w:rsidRPr="006269F8" w:rsidRDefault="00942991" w:rsidP="00942991">
      <w:pPr>
        <w:numPr>
          <w:ilvl w:val="2"/>
          <w:numId w:val="1"/>
        </w:numPr>
        <w:tabs>
          <w:tab w:val="left" w:pos="834"/>
        </w:tabs>
        <w:spacing w:after="60"/>
        <w:ind w:right="11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Maksymalna dopuszczalna kwota pomocy z EFRR w ramach Konkursu wynosi 8</w:t>
      </w:r>
      <w:r w:rsidR="00C92426">
        <w:rPr>
          <w:rFonts w:ascii="Arial Narrow" w:hAnsi="Arial Narrow" w:cs="Arial"/>
        </w:rPr>
        <w:t>6</w:t>
      </w:r>
      <w:r w:rsidRPr="006269F8">
        <w:rPr>
          <w:rFonts w:ascii="Arial Narrow" w:hAnsi="Arial Narrow" w:cs="Arial"/>
        </w:rPr>
        <w:t>% kosztów kwalifikowalnych projektu w przypadku projektów rewitalizacyjnych oraz 85% w przypadku pozostałych typów projektu podstawy wyliczonej w punkcie</w:t>
      </w:r>
      <w:r w:rsidRPr="006269F8">
        <w:rPr>
          <w:rFonts w:ascii="Arial Narrow" w:hAnsi="Arial Narrow" w:cs="Arial"/>
          <w:spacing w:val="-7"/>
        </w:rPr>
        <w:t xml:space="preserve"> </w:t>
      </w:r>
      <w:r w:rsidRPr="006269F8">
        <w:rPr>
          <w:rFonts w:ascii="Arial Narrow" w:hAnsi="Arial Narrow" w:cs="Arial"/>
        </w:rPr>
        <w:t>1.</w:t>
      </w:r>
    </w:p>
    <w:p w:rsidR="00942991" w:rsidRDefault="0094299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7641BF" w:rsidRDefault="007641BF" w:rsidP="00C92426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after="60"/>
        <w:ind w:left="112"/>
        <w:jc w:val="both"/>
        <w:rPr>
          <w:rFonts w:ascii="Arial Narrow" w:hAnsi="Arial Narrow" w:cs="Arial"/>
        </w:rPr>
      </w:pPr>
      <w:r w:rsidRPr="007641BF">
        <w:rPr>
          <w:rFonts w:ascii="Arial Narrow" w:hAnsi="Arial Narrow" w:cs="Arial"/>
          <w:i/>
        </w:rPr>
        <w:t>Wzór na współczynnik dyskontowy</w:t>
      </w:r>
      <w:r w:rsidRPr="006269F8">
        <w:rPr>
          <w:rFonts w:ascii="Arial Narrow" w:hAnsi="Arial Narrow" w:cs="Arial"/>
        </w:rPr>
        <w:t xml:space="preserve"> używany do dyskontowania kosztów całkowitych oraz przychodów i kosztów</w:t>
      </w:r>
      <w:r w:rsidR="00691227">
        <w:rPr>
          <w:rFonts w:ascii="Arial Narrow" w:hAnsi="Arial Narrow" w:cs="Arial"/>
        </w:rPr>
        <w:t xml:space="preserve"> </w:t>
      </w:r>
      <w:r w:rsidRPr="006269F8">
        <w:rPr>
          <w:rFonts w:ascii="Arial Narrow" w:hAnsi="Arial Narrow" w:cs="Arial"/>
        </w:rPr>
        <w:t>operacyjnych: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691227" w:rsidRDefault="00691227" w:rsidP="00CA458D">
      <w:pPr>
        <w:spacing w:after="60"/>
        <w:ind w:left="112"/>
        <w:jc w:val="both"/>
        <w:rPr>
          <w:rFonts w:ascii="Arial Narrow" w:hAnsi="Arial Narrow" w:cs="Arial"/>
          <w:w w:val="105"/>
          <w:position w:val="12"/>
        </w:rPr>
      </w:pPr>
      <w:r>
        <w:rPr>
          <w:noProof/>
        </w:rPr>
        <w:drawing>
          <wp:inline distT="0" distB="0" distL="0" distR="0">
            <wp:extent cx="1076325" cy="650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6747" t="62406" r="85018" b="31374"/>
                    <a:stretch/>
                  </pic:blipFill>
                  <pic:spPr bwMode="auto">
                    <a:xfrm>
                      <a:off x="0" y="0"/>
                      <a:ext cx="1090643" cy="658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6444" w:rsidRPr="006269F8" w:rsidRDefault="000D6444" w:rsidP="000D6444">
      <w:pPr>
        <w:pStyle w:val="Tekstpodstawowy"/>
        <w:spacing w:before="195"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t – rok</w:t>
      </w:r>
      <w:r w:rsidRPr="006269F8">
        <w:rPr>
          <w:rStyle w:val="Odwoanieprzypisudolnego"/>
          <w:rFonts w:ascii="Arial Narrow" w:hAnsi="Arial Narrow" w:cs="Arial"/>
        </w:rPr>
        <w:footnoteReference w:id="8"/>
      </w:r>
    </w:p>
    <w:p w:rsidR="000D6444" w:rsidRPr="006269F8" w:rsidRDefault="000D6444" w:rsidP="000D6444">
      <w:pPr>
        <w:pStyle w:val="Tekstpodstawowy"/>
        <w:spacing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r – stopa dyskontowa</w:t>
      </w:r>
    </w:p>
    <w:p w:rsidR="000D6444" w:rsidRDefault="000D6444" w:rsidP="000D6444">
      <w:pPr>
        <w:pStyle w:val="Tekstpodstawowy"/>
        <w:spacing w:before="3" w:after="60"/>
        <w:rPr>
          <w:rFonts w:ascii="Arial Narrow" w:hAnsi="Arial Narrow" w:cs="Arial"/>
        </w:rPr>
      </w:pPr>
    </w:p>
    <w:p w:rsidR="000D6444" w:rsidRDefault="000D6444" w:rsidP="00C92426">
      <w:pPr>
        <w:pStyle w:val="Tekstpodstawowy"/>
        <w:spacing w:before="15" w:line="242" w:lineRule="auto"/>
        <w:ind w:right="114"/>
        <w:jc w:val="both"/>
        <w:rPr>
          <w:rFonts w:ascii="Arial Narrow" w:hAnsi="Arial Narrow"/>
        </w:rPr>
      </w:pPr>
    </w:p>
    <w:p w:rsidR="000D6444" w:rsidRPr="00086DD1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Załącznik I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Wszyscy Beneficjenci pomocy publicznej są zobowiązani do monitorowania, czy w projekcie występuje zysk netto zgodnie z krajowymi standardami rachunkowości dla działalności dotyczącej projektu, a jeśli występuje tak obliczony zysk netto, do rejestrowania corocznie jego poziomu.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Beneficjent jest zobowiązany na koniec cyklu życia inwestycji (okres amortyzacji zasadniczych aktywów (dominujących w projekcie) będących przedmiotem inwestycji) do przedstawienia Instytucji Zarządzającej będącej stroną umowy o dofinansowanie projektu informacji czy nie wystąpił nadmierny skumulowany zysk netto w projekcie w całym okresie obowiązywania umowy. Dodatkowo dla projektów, dla których cykl życia inwestycji jest dłuższy od wynikającego z umowy o dofinansowanie okresu trwałości projektu (tj. 10 lat od podpisania umowy o dofinansowanie) beneficjent jest zobowiązany do przedłożenia stosowanej informacji również po upływie 10 lat od momentu zawarcia umowy.</w:t>
      </w:r>
    </w:p>
    <w:p w:rsidR="000D6444" w:rsidRPr="006269F8" w:rsidRDefault="000D6444" w:rsidP="000D6444">
      <w:pPr>
        <w:pStyle w:val="Tekstpodstawowy"/>
        <w:spacing w:before="1" w:after="60"/>
        <w:ind w:left="112" w:right="119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Mechanizm wycofania („</w:t>
      </w:r>
      <w:proofErr w:type="spellStart"/>
      <w:r w:rsidRPr="006269F8">
        <w:rPr>
          <w:rFonts w:ascii="Arial Narrow" w:hAnsi="Arial Narrow" w:cs="Arial"/>
        </w:rPr>
        <w:t>claw-back</w:t>
      </w:r>
      <w:proofErr w:type="spellEnd"/>
      <w:r w:rsidRPr="006269F8">
        <w:rPr>
          <w:rFonts w:ascii="Arial Narrow" w:hAnsi="Arial Narrow" w:cs="Arial"/>
        </w:rPr>
        <w:t>”) należy zastosować poprzez wykazanie skumulowanej wielkość zysku netto ponad wartość rozsądnego zysku dotyczącego projektu wyliczonego zgodnie z krajowymi standardami rachunkowości.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 etapie kontroli realizacji projektu (w trakcie realizacji, na zakończenie realizacji oraz podczas trwałości projektu) Instytucja Zarządzająca może kontrolować, czy Beneficjent corocznie weryfikuje występowanie i poziom zysku netto.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  <w:r>
        <w:rPr>
          <w:rFonts w:ascii="Arial Narrow" w:hAnsi="Arial Narrow"/>
        </w:rPr>
        <w:t>MECHANIZM WYCOFANIA</w:t>
      </w:r>
    </w:p>
    <w:p w:rsidR="000D6444" w:rsidRPr="006269F8" w:rsidRDefault="000D6444" w:rsidP="000D6444">
      <w:pPr>
        <w:pStyle w:val="Tekstpodstawowy"/>
        <w:spacing w:after="60"/>
        <w:ind w:left="112" w:right="12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Zgodnie z rozporządzeniem GBER, niezależnie od źródła pomocy (inwestycyjnej lub operacyjnej), operator infrastruktury ma prawo zatrzymać rozsądny zysk przez odnośny okres.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D6444">
        <w:rPr>
          <w:rFonts w:ascii="Arial Narrow" w:hAnsi="Arial Narrow"/>
          <w:b/>
        </w:rPr>
        <w:t>UWAGA (w przypadku, w którym Beneficjent i Operator infrastruktury są odrębnymi podmiotami)</w:t>
      </w:r>
    </w:p>
    <w:p w:rsidR="000D6444" w:rsidRPr="006269F8" w:rsidRDefault="000D6444" w:rsidP="000D6444">
      <w:pPr>
        <w:pStyle w:val="Tekstpodstawowy"/>
        <w:spacing w:after="60"/>
        <w:ind w:left="112" w:right="113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przypadku, w którym operator infrastruktury zostanie wyłoniony w trybie przetargu, uznaje się, że poziom zysku nie będzie nadmierny zgodnie z przepisami GBER i nie ma potrzeby badania poziomu zysku operatora infrastruktury. W takim przypadku, należy zweryfikować występowanie i poziom rozsądnego zysku Beneficjenta (właściciela infrastruktury) w zakresie dotyczącym projektu.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4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przypadku, w którym, operator infrastruktury został wyłoniony w innym trybie zgodnym z krajowymi przepisami, należy przeprowadzić analizę poziomów zysku netto (odrębnie dla właściciela infrastruktury (Beneficjenta dotacji inwestycyjnej) i operatora infrastruktury) zgodnie z dalszymi wytycznymi w tym rozdziale. Beneficjent jest odpowiedzialny za zawarcie odpowiednich postanowień w umowie z operatorem w celu korekty nadwyżki zysku netto ponad zysk rozsądny.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</w:t>
      </w:r>
      <w:r w:rsidRPr="006269F8">
        <w:rPr>
          <w:rFonts w:ascii="Arial Narrow" w:hAnsi="Arial Narrow" w:cs="Arial"/>
        </w:rPr>
        <w:t xml:space="preserve">znaje się, że akceptowana wartość rozsądnego zysku jest równa wartości odnośnej stopy </w:t>
      </w:r>
      <w:proofErr w:type="spellStart"/>
      <w:r w:rsidRPr="006269F8">
        <w:rPr>
          <w:rFonts w:ascii="Arial Narrow" w:hAnsi="Arial Narrow" w:cs="Arial"/>
        </w:rPr>
        <w:t>swapu</w:t>
      </w:r>
      <w:proofErr w:type="spellEnd"/>
      <w:r w:rsidRPr="006269F8">
        <w:rPr>
          <w:rFonts w:ascii="Arial Narrow" w:hAnsi="Arial Narrow" w:cs="Arial"/>
        </w:rPr>
        <w:t xml:space="preserve"> powiększonej o premię w wysokości 100 punktów </w:t>
      </w:r>
      <w:r w:rsidRPr="000D6444">
        <w:rPr>
          <w:rFonts w:ascii="Arial Narrow" w:hAnsi="Arial Narrow" w:cs="Arial"/>
        </w:rPr>
        <w:t xml:space="preserve">bazowych (GBER Art 2 ust. 142). Stopa </w:t>
      </w:r>
      <w:proofErr w:type="spellStart"/>
      <w:r w:rsidRPr="000D6444">
        <w:rPr>
          <w:rFonts w:ascii="Arial Narrow" w:hAnsi="Arial Narrow" w:cs="Arial"/>
        </w:rPr>
        <w:t>swap</w:t>
      </w:r>
      <w:proofErr w:type="spellEnd"/>
      <w:r w:rsidRPr="000D6444">
        <w:rPr>
          <w:rFonts w:ascii="Arial Narrow" w:hAnsi="Arial Narrow" w:cs="Arial"/>
        </w:rPr>
        <w:t xml:space="preserve"> </w:t>
      </w:r>
      <w:r w:rsidRPr="006269F8">
        <w:rPr>
          <w:rFonts w:ascii="Arial Narrow" w:hAnsi="Arial Narrow" w:cs="Arial"/>
        </w:rPr>
        <w:t xml:space="preserve">- stopa dla instrumentów o dłuższym terminie wymagalności odpowiadająca międzybankowej oferowanej stopie referencyjnej (stopie IBOR), publikowana jest na stronie: </w:t>
      </w:r>
      <w:hyperlink r:id="rId10">
        <w:r w:rsidRPr="006269F8">
          <w:rPr>
            <w:rFonts w:ascii="Arial Narrow" w:hAnsi="Arial Narrow" w:cs="Arial"/>
          </w:rPr>
          <w:t>http://ec.europa.eu/competition/state_aid/legislation/swap_rates_en.html.</w:t>
        </w:r>
      </w:hyperlink>
      <w:r w:rsidRPr="006269F8">
        <w:rPr>
          <w:rFonts w:ascii="Arial Narrow" w:hAnsi="Arial Narrow" w:cs="Arial"/>
        </w:rPr>
        <w:t xml:space="preserve"> Wartości stopy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są podawane dla wartości dla okresów 1-10 lat. W przypadku inwestycji, dla których cykl życia inwestycji przekracza 10 lat należy przyjąć zastosować wartość stopy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dla 10 letniego</w:t>
      </w:r>
      <w:r w:rsidRPr="006269F8">
        <w:rPr>
          <w:rFonts w:ascii="Arial Narrow" w:hAnsi="Arial Narrow" w:cs="Arial"/>
          <w:spacing w:val="-23"/>
        </w:rPr>
        <w:t xml:space="preserve"> </w:t>
      </w:r>
      <w:r w:rsidRPr="006269F8">
        <w:rPr>
          <w:rFonts w:ascii="Arial Narrow" w:hAnsi="Arial Narrow" w:cs="Arial"/>
        </w:rPr>
        <w:t>okresu.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3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Poziom rozsądnego zysku to poziom zysku netto (zgodnie z krajowymi standardami rachunkowości) umożliwiający uzyskanie rentowności sprzedaży netto na poziomie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plus 100 punktów bazowych.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Beneficjent/Operator zobowiązany jest prowadzić rachunkowość w sposób umożliwiający wyodrębnienie kosztów i przychodów związanych ze świadczeniem usług w ramach dotowanego projektu poprzez całkowite lub proporcjonalne przypisanie kosztów i przychodów do tego projektu.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kalkulacji kosztów i przychodów usług objętych projektem (na cele weryfikacji poziomu rozsądnego zysku) powinny zostać uwzględnione wszystkie koszty związane ze świadczeniem tych usług (zarówno koszty stałe jak i zmienne) i przychody związane ze świadczeniem tych usług, , w tym</w:t>
      </w:r>
      <w:r w:rsidRPr="006269F8">
        <w:rPr>
          <w:rFonts w:ascii="Arial Narrow" w:hAnsi="Arial Narrow" w:cs="Arial"/>
          <w:spacing w:val="-34"/>
        </w:rPr>
        <w:t xml:space="preserve"> </w:t>
      </w:r>
      <w:r w:rsidRPr="006269F8">
        <w:rPr>
          <w:rFonts w:ascii="Arial Narrow" w:hAnsi="Arial Narrow" w:cs="Arial"/>
        </w:rPr>
        <w:t>m.in.:</w:t>
      </w:r>
    </w:p>
    <w:p w:rsidR="000D6444" w:rsidRPr="006269F8" w:rsidRDefault="000D6444" w:rsidP="000D6444">
      <w:pPr>
        <w:pStyle w:val="Tekstpodstawowy"/>
        <w:spacing w:before="1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18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wszystkie koszty bezpośrednie związane z działalnością, którą obejmuje projekt kalkulowane zgodnie z zasadami</w:t>
      </w:r>
      <w:r w:rsidRPr="006269F8">
        <w:rPr>
          <w:rFonts w:ascii="Arial Narrow" w:hAnsi="Arial Narrow" w:cs="Arial"/>
          <w:spacing w:val="-12"/>
        </w:rPr>
        <w:t xml:space="preserve"> </w:t>
      </w:r>
      <w:r w:rsidRPr="006269F8">
        <w:rPr>
          <w:rFonts w:ascii="Arial Narrow" w:hAnsi="Arial Narrow" w:cs="Arial"/>
        </w:rPr>
        <w:t>rachunkowości,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before="47" w:after="60"/>
        <w:ind w:right="11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pośrednie, w tym zarządu i administracji związane z działalnością, którą obejmuje projekt  (odpowiednio podzielone w przypadku, gdy Beneficjent/Operator prowadzi inną działalność niż świadczenie usług w ramach</w:t>
      </w:r>
      <w:r w:rsidRPr="006269F8">
        <w:rPr>
          <w:rFonts w:ascii="Arial Narrow" w:hAnsi="Arial Narrow" w:cs="Arial"/>
          <w:spacing w:val="-9"/>
        </w:rPr>
        <w:t xml:space="preserve"> </w:t>
      </w:r>
      <w:r w:rsidRPr="006269F8">
        <w:rPr>
          <w:rFonts w:ascii="Arial Narrow" w:hAnsi="Arial Narrow" w:cs="Arial"/>
        </w:rPr>
        <w:t>projektu),przychody bezpośrednie i przychody pośrednio związane z działalnością, którą obejmuje projekt (odpowiednio podzielone w przypadku, gdy Beneficjent/Operator prowadzi inną działalność niż świadczenie usług w ramach projektu),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2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kalkulacji należy także uwzględnić pozostałe przychody z działalności operacyjnej, w tym rozliczenie dotacji inwestycyjnej w danym roku</w:t>
      </w:r>
      <w:r w:rsidRPr="006269F8">
        <w:rPr>
          <w:rFonts w:ascii="Arial Narrow" w:hAnsi="Arial Narrow" w:cs="Arial"/>
          <w:spacing w:val="-16"/>
        </w:rPr>
        <w:t xml:space="preserve"> </w:t>
      </w:r>
      <w:r w:rsidRPr="006269F8">
        <w:rPr>
          <w:rFonts w:ascii="Arial Narrow" w:hAnsi="Arial Narrow" w:cs="Arial"/>
        </w:rPr>
        <w:t>obrachunkowym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2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VAT należy uwzględnić w kalkulacji kosztów, zgodnie z przepisami podatkowymi, gdy podatek VAT stanowi rzeczywisty </w:t>
      </w:r>
      <w:proofErr w:type="spellStart"/>
      <w:r w:rsidRPr="006269F8">
        <w:rPr>
          <w:rFonts w:ascii="Arial Narrow" w:hAnsi="Arial Narrow" w:cs="Arial"/>
        </w:rPr>
        <w:t>nieodzyskiwalny</w:t>
      </w:r>
      <w:proofErr w:type="spellEnd"/>
      <w:r w:rsidRPr="006269F8">
        <w:rPr>
          <w:rFonts w:ascii="Arial Narrow" w:hAnsi="Arial Narrow" w:cs="Arial"/>
        </w:rPr>
        <w:t xml:space="preserve"> wydatek podmiotu ponoszącego</w:t>
      </w:r>
      <w:r w:rsidRPr="006269F8">
        <w:rPr>
          <w:rFonts w:ascii="Arial Narrow" w:hAnsi="Arial Narrow" w:cs="Arial"/>
          <w:spacing w:val="-22"/>
        </w:rPr>
        <w:t xml:space="preserve"> </w:t>
      </w:r>
      <w:r w:rsidRPr="006269F8">
        <w:rPr>
          <w:rFonts w:ascii="Arial Narrow" w:hAnsi="Arial Narrow" w:cs="Arial"/>
        </w:rPr>
        <w:t>wydatki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15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podatek dochodowy (ze względu na fakt, że zakładany zysk przyjęty do kalkulacji poziomu rozsądnego zysku jest kalkulowany w oparciu o zysk po</w:t>
      </w:r>
      <w:r w:rsidRPr="006269F8">
        <w:rPr>
          <w:rFonts w:ascii="Arial Narrow" w:hAnsi="Arial Narrow" w:cs="Arial"/>
          <w:spacing w:val="-18"/>
        </w:rPr>
        <w:t xml:space="preserve"> </w:t>
      </w:r>
      <w:r w:rsidRPr="006269F8">
        <w:rPr>
          <w:rFonts w:ascii="Arial Narrow" w:hAnsi="Arial Narrow" w:cs="Arial"/>
        </w:rPr>
        <w:t>opodatkowaniu).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przypadku, gdy w projekcie wystąpi zysk netto ponad poziom rozsądnego zysku w okresie cyklu życia inwestycji (również w momencie zakończenia okresu trwałości projektu - w przypadku inwestycji, dla których cykl życia wykracza poza okres 10 lat od momentu zawarcia umowy o dofinansowanie), wówczas należy dokonać zwrotu nadmiernego dofinansowania ze środków EFRR wraz z odsetkami naliczonymi na podstawie obowiązujących przepisów</w:t>
      </w:r>
      <w:r w:rsidRPr="006269F8">
        <w:rPr>
          <w:rFonts w:ascii="Arial Narrow" w:hAnsi="Arial Narrow" w:cs="Arial"/>
          <w:spacing w:val="-7"/>
        </w:rPr>
        <w:t xml:space="preserve"> </w:t>
      </w:r>
      <w:r w:rsidRPr="006269F8">
        <w:rPr>
          <w:rFonts w:ascii="Arial Narrow" w:hAnsi="Arial Narrow" w:cs="Arial"/>
        </w:rPr>
        <w:t>prawa.</w:t>
      </w:r>
    </w:p>
    <w:p w:rsidR="000D6444" w:rsidRPr="006269F8" w:rsidRDefault="000D6444" w:rsidP="000D6444">
      <w:pPr>
        <w:pStyle w:val="Tekstpodstawowy"/>
        <w:spacing w:before="1" w:after="60"/>
        <w:rPr>
          <w:rFonts w:ascii="Arial Narrow" w:hAnsi="Arial Narrow" w:cs="Arial"/>
        </w:rPr>
      </w:pPr>
    </w:p>
    <w:p w:rsidR="000D6444" w:rsidRPr="000D6444" w:rsidRDefault="000D6444" w:rsidP="000D6444">
      <w:pPr>
        <w:pStyle w:val="Tekstpodstawowy"/>
        <w:spacing w:after="60"/>
        <w:ind w:left="112" w:right="125"/>
        <w:jc w:val="both"/>
        <w:rPr>
          <w:rFonts w:ascii="Arial Narrow" w:hAnsi="Arial Narrow" w:cs="Arial"/>
        </w:rPr>
      </w:pPr>
      <w:r w:rsidRPr="000D6444">
        <w:rPr>
          <w:rFonts w:ascii="Arial Narrow" w:hAnsi="Arial Narrow" w:cs="Arial"/>
        </w:rPr>
        <w:t>Zgodność z regułami rynku wewnętrznego UE ewentualnej pomocy operacyjnej dla operatora infrastruktury odrębnego od jej właściciela powinna być oceniana w oparciu o art. 53 ust. 7 GBER.</w:t>
      </w:r>
    </w:p>
    <w:p w:rsidR="00D56289" w:rsidRPr="006269F8" w:rsidRDefault="00D56289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D56289" w:rsidRDefault="00D56289" w:rsidP="00D56289">
      <w:pPr>
        <w:ind w:left="212"/>
      </w:pPr>
    </w:p>
    <w:sectPr w:rsidR="00D56289" w:rsidSect="00797CA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26" w:rsidRDefault="00C92426" w:rsidP="00D56289">
      <w:r>
        <w:separator/>
      </w:r>
    </w:p>
  </w:endnote>
  <w:endnote w:type="continuationSeparator" w:id="0">
    <w:p w:rsidR="00C92426" w:rsidRDefault="00C92426" w:rsidP="00D5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37674"/>
      <w:docPartObj>
        <w:docPartGallery w:val="Page Numbers (Bottom of Page)"/>
        <w:docPartUnique/>
      </w:docPartObj>
    </w:sdtPr>
    <w:sdtContent>
      <w:p w:rsidR="00C92426" w:rsidRDefault="00C92426">
        <w:pPr>
          <w:pStyle w:val="Stopka"/>
          <w:jc w:val="right"/>
        </w:pPr>
      </w:p>
      <w:p w:rsidR="00C92426" w:rsidRDefault="00C92426">
        <w:pPr>
          <w:pStyle w:val="Stopka"/>
          <w:jc w:val="right"/>
        </w:pPr>
        <w:fldSimple w:instr="PAGE   \* MERGEFORMAT">
          <w:r w:rsidR="00D64570">
            <w:rPr>
              <w:noProof/>
            </w:rPr>
            <w:t>1</w:t>
          </w:r>
        </w:fldSimple>
      </w:p>
    </w:sdtContent>
  </w:sdt>
  <w:p w:rsidR="00C92426" w:rsidRDefault="00C92426">
    <w:pPr>
      <w:pStyle w:val="Stopka"/>
    </w:pPr>
  </w:p>
  <w:p w:rsidR="00C92426" w:rsidRDefault="00C924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26" w:rsidRDefault="00C92426" w:rsidP="00D56289">
      <w:r>
        <w:separator/>
      </w:r>
    </w:p>
  </w:footnote>
  <w:footnote w:type="continuationSeparator" w:id="0">
    <w:p w:rsidR="00C92426" w:rsidRDefault="00C92426" w:rsidP="00D56289">
      <w:r>
        <w:continuationSeparator/>
      </w:r>
    </w:p>
  </w:footnote>
  <w:footnote w:id="1">
    <w:p w:rsidR="00C92426" w:rsidRPr="00C92426" w:rsidRDefault="00C92426" w:rsidP="00034E0D">
      <w:pPr>
        <w:ind w:right="244"/>
        <w:jc w:val="both"/>
        <w:rPr>
          <w:rFonts w:ascii="Arial" w:hAnsi="Arial" w:cs="Arial"/>
          <w:sz w:val="16"/>
          <w:szCs w:val="16"/>
          <w:lang w:val="en-US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2426">
        <w:rPr>
          <w:rFonts w:ascii="Arial" w:hAnsi="Arial" w:cs="Arial"/>
          <w:sz w:val="16"/>
          <w:szCs w:val="16"/>
          <w:lang w:val="en-US"/>
        </w:rPr>
        <w:t xml:space="preserve"> Szczegóły zamieszczone są na stronie KE “Analytical Grids on the application of State aid rules to the financing of infrastructure projects”: http://ec.europa.eu/competition/state_aid/studies_reports/state_aid_grids_2015_en.pdf</w:t>
      </w:r>
    </w:p>
  </w:footnote>
  <w:footnote w:id="2">
    <w:p w:rsidR="00C92426" w:rsidRPr="00D15486" w:rsidRDefault="00C92426" w:rsidP="00034E0D">
      <w:pPr>
        <w:pStyle w:val="Tekstpodstawowy"/>
        <w:spacing w:after="0"/>
        <w:ind w:right="244"/>
        <w:jc w:val="both"/>
        <w:rPr>
          <w:rFonts w:ascii="Arial" w:hAnsi="Arial" w:cs="Arial"/>
          <w:sz w:val="16"/>
          <w:szCs w:val="16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486">
        <w:rPr>
          <w:rFonts w:ascii="Arial" w:hAnsi="Arial" w:cs="Arial"/>
          <w:sz w:val="16"/>
          <w:szCs w:val="16"/>
        </w:rPr>
        <w:t>Dokument dostępny na stronie: http://ec.europa.eu/competition/consultations/2014_state_aid_notion/draft_guidance_pl.pdf</w:t>
      </w:r>
    </w:p>
  </w:footnote>
  <w:footnote w:id="3">
    <w:p w:rsidR="00C92426" w:rsidRPr="00034E0D" w:rsidRDefault="00C92426" w:rsidP="00034E0D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486">
        <w:rPr>
          <w:rFonts w:ascii="Arial" w:hAnsi="Arial" w:cs="Arial"/>
          <w:sz w:val="16"/>
          <w:szCs w:val="16"/>
        </w:rPr>
        <w:t xml:space="preserve"> Należy zastosować :</w:t>
      </w:r>
      <w:r>
        <w:rPr>
          <w:rFonts w:ascii="Arial" w:hAnsi="Arial" w:cs="Arial"/>
          <w:sz w:val="16"/>
          <w:szCs w:val="16"/>
        </w:rPr>
        <w:t xml:space="preserve"> </w:t>
      </w:r>
      <w:r w:rsidRPr="00827A77">
        <w:rPr>
          <w:rFonts w:ascii="Arial" w:hAnsi="Arial" w:cs="Arial"/>
          <w:i/>
          <w:sz w:val="16"/>
          <w:szCs w:val="16"/>
        </w:rPr>
        <w:t>Wytyczne w zakresie zagadnień związanych z przygotowaniem projektów inwestycyjnych, w tym projektów generujących dochód i projektów hybrydowych na lata 2014-2020</w:t>
      </w:r>
      <w:r w:rsidRPr="00803B87">
        <w:rPr>
          <w:rFonts w:ascii="Arial" w:hAnsi="Arial" w:cs="Arial"/>
          <w:sz w:val="16"/>
          <w:szCs w:val="16"/>
        </w:rPr>
        <w:t xml:space="preserve">, Warszawa 18 marca 2015. Należy zastosować okres </w:t>
      </w:r>
      <w:r w:rsidRPr="00034E0D">
        <w:rPr>
          <w:rFonts w:ascii="Arial" w:hAnsi="Arial" w:cs="Arial"/>
          <w:sz w:val="16"/>
          <w:szCs w:val="16"/>
        </w:rPr>
        <w:t xml:space="preserve">referencyjny zgodnie z Załącznikiem I do </w:t>
      </w:r>
      <w:r w:rsidRPr="00827A77">
        <w:rPr>
          <w:rFonts w:ascii="Arial" w:hAnsi="Arial" w:cs="Arial"/>
          <w:i/>
          <w:sz w:val="16"/>
          <w:szCs w:val="16"/>
        </w:rPr>
        <w:t>Rozporządzenia delegowanego Komisji (UE) nr 480/2014 z dnia 3 marca 2014 r.</w:t>
      </w:r>
    </w:p>
  </w:footnote>
  <w:footnote w:id="4">
    <w:p w:rsidR="00C92426" w:rsidRPr="00034E0D" w:rsidRDefault="00C92426" w:rsidP="00034E0D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034E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4E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Sposób wyliczania ekwiwalentu dotacji brutto został wskazany w </w:t>
      </w:r>
      <w:r w:rsidRPr="00034E0D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ozporządzeniu Rady Ministrów </w:t>
      </w:r>
      <w:r w:rsidRPr="00034E0D">
        <w:rPr>
          <w:rFonts w:ascii="Arial" w:hAnsi="Arial" w:cs="Arial"/>
          <w:sz w:val="16"/>
          <w:szCs w:val="16"/>
        </w:rPr>
        <w:t>z dnia 11 sierpnia 2004 r. w sprawie szczegółowego sposobu obliczania wartości pomocy publicznej udzielanej w różnych formach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C92426" w:rsidRPr="00803B87" w:rsidRDefault="00C92426" w:rsidP="00034E0D">
      <w:pPr>
        <w:ind w:right="376"/>
        <w:jc w:val="both"/>
        <w:rPr>
          <w:rFonts w:ascii="Arial" w:hAnsi="Arial" w:cs="Arial"/>
          <w:sz w:val="16"/>
          <w:szCs w:val="16"/>
        </w:rPr>
      </w:pPr>
      <w:r w:rsidRPr="00034E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4E0D">
        <w:rPr>
          <w:rFonts w:ascii="Arial" w:hAnsi="Arial" w:cs="Arial"/>
          <w:sz w:val="16"/>
          <w:szCs w:val="16"/>
        </w:rPr>
        <w:t xml:space="preserve"> Rozporządzenie KE nr 651/2014 z dnia 17 czerwca 2014 r. uznające niektóre rodzaje pomocy za zgodne z rynkiem wewnętrznym w zastosowaniu</w:t>
      </w:r>
      <w:r w:rsidRPr="00803B87">
        <w:rPr>
          <w:rFonts w:ascii="Arial" w:hAnsi="Arial" w:cs="Arial"/>
          <w:sz w:val="16"/>
          <w:szCs w:val="16"/>
        </w:rPr>
        <w:t xml:space="preserve"> art. 107 i 108 Traktatu (Dz. Urz. UE L 187 z 26.6.2014).</w:t>
      </w:r>
    </w:p>
  </w:footnote>
  <w:footnote w:id="6">
    <w:p w:rsidR="00C92426" w:rsidRPr="006B4C28" w:rsidRDefault="00C92426" w:rsidP="006B4C28">
      <w:pPr>
        <w:ind w:right="246"/>
        <w:jc w:val="both"/>
        <w:rPr>
          <w:rFonts w:ascii="Arial" w:hAnsi="Arial" w:cs="Arial"/>
          <w:sz w:val="16"/>
          <w:szCs w:val="16"/>
        </w:rPr>
      </w:pPr>
      <w:r w:rsidRPr="00803B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3B87">
        <w:rPr>
          <w:rFonts w:ascii="Arial" w:hAnsi="Arial" w:cs="Arial"/>
          <w:sz w:val="16"/>
          <w:szCs w:val="16"/>
        </w:rPr>
        <w:t xml:space="preserve"> </w:t>
      </w:r>
      <w:r w:rsidRPr="006B4C28">
        <w:rPr>
          <w:rFonts w:ascii="Arial" w:hAnsi="Arial" w:cs="Arial"/>
          <w:sz w:val="16"/>
          <w:szCs w:val="16"/>
        </w:rPr>
        <w:t>Stopa dyskontowa = stopa bazowa + marża 100 punktów bazowych. Stopy bazowa i dyskontowa publikowane są na stronach internetowych UOKiK. Na potrzeby złożenia wniosku, należy zastosować stopę procentową na dzień złożenia wniosku. W przypadku, w którym wartość stopy referencyjnej w dniu podpisania umowy o dofinansowanie będzie się różnić od wartości stopy referencyjnej w dokumentacji projektowej, Beneficjent będzie zobowiązany do ponownego przeliczenia wartości pomocy inwestycyjnej w oparciu o stopę procentową aktualną na dzień podpisania umowy.</w:t>
      </w:r>
    </w:p>
  </w:footnote>
  <w:footnote w:id="7">
    <w:p w:rsidR="00C92426" w:rsidRPr="006B4C28" w:rsidRDefault="00C92426" w:rsidP="006B4C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4C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4C28">
        <w:rPr>
          <w:rFonts w:ascii="Arial" w:hAnsi="Arial" w:cs="Arial"/>
          <w:sz w:val="16"/>
          <w:szCs w:val="16"/>
        </w:rPr>
        <w:t xml:space="preserve"> Zgodnie z art. 7 (3 ) GBER „Pomoc wypłacana w kilku ratach jest dyskontowana do wartości w momencie jej przyznania”.</w:t>
      </w:r>
    </w:p>
  </w:footnote>
  <w:footnote w:id="8">
    <w:p w:rsidR="00C92426" w:rsidRDefault="00C92426" w:rsidP="00BA26BB">
      <w:pPr>
        <w:ind w:left="112" w:right="137"/>
      </w:pPr>
      <w:r>
        <w:rPr>
          <w:rStyle w:val="Odwoanieprzypisudolnego"/>
        </w:rPr>
        <w:footnoteRef/>
      </w:r>
      <w:r>
        <w:t xml:space="preserve"> </w:t>
      </w:r>
      <w:r w:rsidRPr="00355DCE">
        <w:rPr>
          <w:rFonts w:ascii="Arial" w:hAnsi="Arial" w:cs="Arial"/>
          <w:sz w:val="16"/>
          <w:szCs w:val="16"/>
        </w:rPr>
        <w:t xml:space="preserve">Na potrzeby dyskontowania pierwszy rok okresu odniesienia traktowany jest, jako „rok zerowy” (t=0; współczynnik dyskontowy=1) prognoza przepływów pieniężnych powinna obejmować okres od roku zerowego do roku t, gdzie t oznacza liczbę lat okresu odniesienia przyjętego do analizy </w:t>
      </w:r>
      <w:r w:rsidRPr="00355DCE">
        <w:rPr>
          <w:rFonts w:ascii="Arial" w:hAnsi="Arial" w:cs="Arial"/>
          <w:sz w:val="16"/>
          <w:szCs w:val="16"/>
          <w:u w:val="single"/>
        </w:rPr>
        <w:t>pomniejszoną o 1</w:t>
      </w:r>
      <w:r w:rsidRPr="00355DC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73E"/>
    <w:multiLevelType w:val="hybridMultilevel"/>
    <w:tmpl w:val="5B60E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F4573"/>
    <w:multiLevelType w:val="hybridMultilevel"/>
    <w:tmpl w:val="46D252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66642"/>
    <w:multiLevelType w:val="hybridMultilevel"/>
    <w:tmpl w:val="59707A0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93FEC"/>
    <w:multiLevelType w:val="hybridMultilevel"/>
    <w:tmpl w:val="153CDE80"/>
    <w:lvl w:ilvl="0" w:tplc="8294E41A">
      <w:start w:val="1"/>
      <w:numFmt w:val="lowerLetter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976184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23A24A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F5822312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2B88FA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FAA0CC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7D61DF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E24C3E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4B67CB0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>
    <w:nsid w:val="4D865C94"/>
    <w:multiLevelType w:val="hybridMultilevel"/>
    <w:tmpl w:val="E2345F3E"/>
    <w:lvl w:ilvl="0" w:tplc="538C7640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802272E">
      <w:start w:val="1"/>
      <w:numFmt w:val="lowerLetter"/>
      <w:lvlText w:val="%2."/>
      <w:lvlJc w:val="left"/>
      <w:pPr>
        <w:ind w:left="833" w:hanging="360"/>
      </w:pPr>
      <w:rPr>
        <w:rFonts w:hint="default"/>
        <w:b/>
        <w:bCs/>
        <w:spacing w:val="0"/>
        <w:w w:val="99"/>
      </w:rPr>
    </w:lvl>
    <w:lvl w:ilvl="2" w:tplc="7E8A06BE">
      <w:start w:val="1"/>
      <w:numFmt w:val="decimal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 w:tplc="099CED26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7FD6B90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E68896F8">
      <w:start w:val="1"/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39225E8C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8ED27466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FCA02E12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5">
    <w:nsid w:val="73264A14"/>
    <w:multiLevelType w:val="hybridMultilevel"/>
    <w:tmpl w:val="70CCCE0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89"/>
    <w:rsid w:val="00015EEC"/>
    <w:rsid w:val="00034E0D"/>
    <w:rsid w:val="00086DD1"/>
    <w:rsid w:val="000C26E0"/>
    <w:rsid w:val="000D6444"/>
    <w:rsid w:val="000F48FF"/>
    <w:rsid w:val="00171DE7"/>
    <w:rsid w:val="001A7761"/>
    <w:rsid w:val="001C1516"/>
    <w:rsid w:val="002069E9"/>
    <w:rsid w:val="003D11D6"/>
    <w:rsid w:val="003E4238"/>
    <w:rsid w:val="004B5CC7"/>
    <w:rsid w:val="00537C6C"/>
    <w:rsid w:val="00607A62"/>
    <w:rsid w:val="00616813"/>
    <w:rsid w:val="00691227"/>
    <w:rsid w:val="006B4C28"/>
    <w:rsid w:val="00753244"/>
    <w:rsid w:val="007641BF"/>
    <w:rsid w:val="00797CAC"/>
    <w:rsid w:val="007A432E"/>
    <w:rsid w:val="00827A77"/>
    <w:rsid w:val="00942991"/>
    <w:rsid w:val="009B6BEA"/>
    <w:rsid w:val="00A44BF8"/>
    <w:rsid w:val="00AC0CFC"/>
    <w:rsid w:val="00BA26BB"/>
    <w:rsid w:val="00C92426"/>
    <w:rsid w:val="00CA458D"/>
    <w:rsid w:val="00D15486"/>
    <w:rsid w:val="00D56289"/>
    <w:rsid w:val="00D64570"/>
    <w:rsid w:val="00DE0DDC"/>
    <w:rsid w:val="00E569A1"/>
    <w:rsid w:val="00EB7D51"/>
    <w:rsid w:val="00ED0F95"/>
    <w:rsid w:val="00F4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2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5628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D562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D5628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D562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5628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Default">
    <w:name w:val="Default"/>
    <w:rsid w:val="00D1548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competition/state_aid/legislation/swap_rates_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9BC5-74E3-4C68-B63E-2FE15AC8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1888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Olczyk-Witczak</dc:creator>
  <cp:keywords/>
  <dc:description/>
  <cp:lastModifiedBy>marta.morawska</cp:lastModifiedBy>
  <cp:revision>25</cp:revision>
  <cp:lastPrinted>2016-04-13T09:42:00Z</cp:lastPrinted>
  <dcterms:created xsi:type="dcterms:W3CDTF">2016-04-12T09:31:00Z</dcterms:created>
  <dcterms:modified xsi:type="dcterms:W3CDTF">2016-10-18T13:02:00Z</dcterms:modified>
</cp:coreProperties>
</file>