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2B" w:rsidRPr="00E43AD0" w:rsidRDefault="00A92B2B" w:rsidP="00A40F29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bookmarkStart w:id="0" w:name="_GoBack"/>
      <w:bookmarkEnd w:id="0"/>
      <w:r w:rsidRPr="00E43AD0">
        <w:rPr>
          <w:rStyle w:val="FontStyle33"/>
          <w:rFonts w:ascii="Arial Narrow" w:hAnsi="Arial Narrow"/>
          <w:i w:val="0"/>
          <w:sz w:val="28"/>
          <w:szCs w:val="28"/>
        </w:rPr>
        <w:t>Lista kontrolna dla projektów z pomocą publiczną opartych o rozporządzenie Komisji nr 651/2014 z dnia 17 czerwca 2014 r.</w:t>
      </w:r>
      <w:r w:rsidR="00681862">
        <w:rPr>
          <w:rStyle w:val="FontStyle33"/>
          <w:rFonts w:ascii="Arial Narrow" w:hAnsi="Arial Narrow"/>
          <w:i w:val="0"/>
          <w:sz w:val="28"/>
          <w:szCs w:val="28"/>
        </w:rPr>
        <w:t xml:space="preserve"> dotycząca pomocy na kulturę i zachowanie dziedzictwa kulturowego</w:t>
      </w:r>
    </w:p>
    <w:p w:rsidR="00C203BF" w:rsidRPr="00FE6953" w:rsidRDefault="00C203BF" w:rsidP="00C203BF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>Niniejsza lista kontrolna nie jest oficjalnym dokumentem Komisji Europejskiej. Może być ona pomocnym, dodatkowym narzędziem w kontekście stosowania rozporządzenia Komisji nr 651/2014 z dnia 17 czerwca 2014 r. (ogólnego rozporządzenia w sprawie wyłączeń blokowych), jednak nie zastępuje ona tego rozporządzenia. Aby skorzystać z wyłączenia z wymogu zgłoszenia określonego w rozporządzeniu, konieczne jest zachowanie pełnej zgodności z jego przepisami.</w:t>
      </w:r>
    </w:p>
    <w:p w:rsidR="007C3FC4" w:rsidRPr="00074BAB" w:rsidRDefault="00074BAB" w:rsidP="00074BAB">
      <w:pPr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074BAB">
        <w:rPr>
          <w:rFonts w:ascii="Arial Narrow" w:hAnsi="Arial Narrow"/>
          <w:b/>
          <w:i/>
          <w:color w:val="FF0000"/>
          <w:sz w:val="22"/>
          <w:szCs w:val="22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C203BF" w:rsidRPr="00C203BF" w:rsidRDefault="00C203BF" w:rsidP="00C203BF">
      <w:pPr>
        <w:pStyle w:val="Nagwek1"/>
        <w:spacing w:before="71"/>
        <w:ind w:left="708" w:right="792" w:firstLine="708"/>
        <w:jc w:val="center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  <w:u w:val="thick"/>
        </w:rPr>
        <w:t>Ogólne rozporządzenie w sprawie wyłączeń blokowych (rozp. 651/2014) - dokument roboczy Pomoc na kulturę i zachowanie dziedzictwa kulturowego</w:t>
      </w:r>
    </w:p>
    <w:p w:rsidR="00C203BF" w:rsidRPr="00C203BF" w:rsidRDefault="00C203BF" w:rsidP="00C203BF">
      <w:pPr>
        <w:pStyle w:val="Tekstpodstawowy"/>
        <w:ind w:left="837" w:right="629" w:hanging="1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</w:rPr>
        <w:t>Najpierw należy sprawdzić ogólne warunki stosowania ogólnego rozporządzenia w sprawie wyłączeń blokowych (12 warunków, art. 1-12), a następnie warunki dotyczące pomocy na kulturę i zachowanie dziedzictwa kulturowego.</w:t>
      </w:r>
    </w:p>
    <w:p w:rsidR="00C203BF" w:rsidRPr="00C203BF" w:rsidRDefault="00C203BF" w:rsidP="00C203BF">
      <w:pPr>
        <w:pStyle w:val="Nagwek1"/>
        <w:keepNext w:val="0"/>
        <w:keepLines w:val="0"/>
        <w:widowControl w:val="0"/>
        <w:numPr>
          <w:ilvl w:val="0"/>
          <w:numId w:val="18"/>
        </w:numPr>
        <w:tabs>
          <w:tab w:val="left" w:pos="6474"/>
        </w:tabs>
        <w:spacing w:before="0"/>
        <w:ind w:left="6333" w:hanging="266"/>
        <w:jc w:val="left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  <w:u w:val="thick"/>
        </w:rPr>
        <w:t>Ogólne warunki</w:t>
      </w:r>
      <w:r w:rsidRPr="00C203BF">
        <w:rPr>
          <w:rFonts w:ascii="Arial Narrow" w:hAnsi="Arial Narrow"/>
          <w:spacing w:val="-12"/>
          <w:sz w:val="22"/>
          <w:szCs w:val="22"/>
          <w:u w:val="thick"/>
        </w:rPr>
        <w:t xml:space="preserve"> </w:t>
      </w:r>
      <w:r w:rsidRPr="00C203BF">
        <w:rPr>
          <w:rFonts w:ascii="Arial Narrow" w:hAnsi="Arial Narrow"/>
          <w:sz w:val="22"/>
          <w:szCs w:val="22"/>
          <w:u w:val="thick"/>
        </w:rPr>
        <w:t>stosowania</w:t>
      </w:r>
    </w:p>
    <w:p w:rsidR="00C203BF" w:rsidRPr="00C203BF" w:rsidRDefault="00C203BF" w:rsidP="00C203BF">
      <w:pPr>
        <w:pStyle w:val="Tekstpodstawowy"/>
        <w:spacing w:before="1" w:after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678"/>
      </w:tblGrid>
      <w:tr w:rsidR="00C203BF" w:rsidRPr="00C203BF" w:rsidTr="00A92B2B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OGÓLNE WARUNKI ZGODNOŚCI</w:t>
            </w:r>
          </w:p>
        </w:tc>
        <w:tc>
          <w:tcPr>
            <w:tcW w:w="4678" w:type="dxa"/>
            <w:shd w:val="clear" w:color="auto" w:fill="333399"/>
          </w:tcPr>
          <w:p w:rsidR="00C203BF" w:rsidRPr="00C203BF" w:rsidRDefault="00C203BF" w:rsidP="00A92B2B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C203BF" w:rsidRPr="00C203BF" w:rsidTr="00A92B2B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C203BF" w:rsidRPr="00C203BF" w:rsidRDefault="00C203BF" w:rsidP="004256D8">
            <w:pPr>
              <w:pStyle w:val="TableParagraph"/>
              <w:spacing w:before="3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niektórych działań (ust. 2)</w:t>
            </w:r>
          </w:p>
        </w:tc>
        <w:tc>
          <w:tcPr>
            <w:tcW w:w="4678" w:type="dxa"/>
            <w:vMerge w:val="restart"/>
            <w:tcBorders>
              <w:left w:val="single" w:sz="41" w:space="0" w:color="DADADA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800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F" w:rsidRPr="00C203BF" w:rsidRDefault="00C203BF" w:rsidP="00C203B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line="266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przyznawanej na działalność związaną z</w:t>
            </w:r>
            <w:r w:rsidRPr="00C203BF">
              <w:rPr>
                <w:rFonts w:ascii="Arial Narrow" w:hAnsi="Arial Narrow"/>
                <w:spacing w:val="-3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wywozem;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ind w:right="10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uwarunkowanej pierwszeństwem użycia towarów produkcji krajowej w stosunku do towarów sprowadzanych z</w:t>
            </w:r>
            <w:r w:rsidRPr="00C203BF">
              <w:rPr>
                <w:rFonts w:ascii="Arial Narrow" w:hAnsi="Arial Narrow"/>
                <w:spacing w:val="-2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zagranicy.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6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C203BF" w:rsidRPr="00C203BF" w:rsidRDefault="00C203BF" w:rsidP="004256D8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niektórych sektorów (ust. 3)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958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68" w:lineRule="exact"/>
              <w:ind w:right="0"/>
              <w:rPr>
                <w:rFonts w:ascii="Arial Narrow" w:hAnsi="Arial Narrow"/>
                <w:color w:val="FF0000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sektora rybołówstwa i akwakultury* (podobnie jak w rozporządzeniu</w:t>
            </w:r>
            <w:r w:rsidRPr="00C203BF">
              <w:rPr>
                <w:rFonts w:ascii="Arial Narrow" w:hAnsi="Arial Narrow"/>
                <w:spacing w:val="-3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1379/2013);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sektora produkcji podstawowej produktów</w:t>
            </w:r>
            <w:r w:rsidRPr="00C203BF">
              <w:rPr>
                <w:rFonts w:ascii="Arial Narrow" w:hAnsi="Arial Narrow"/>
                <w:spacing w:val="-2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rolnych*;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98"/>
              <w:jc w:val="both"/>
              <w:rPr>
                <w:rFonts w:ascii="Arial Narrow" w:hAnsi="Arial Narrow"/>
                <w:color w:val="FF0000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przetwórstwa i wprowadzania do obrotu produktów rolnych*, </w:t>
            </w:r>
            <w:r w:rsidRPr="00C203BF">
              <w:rPr>
                <w:rFonts w:ascii="Arial Narrow" w:hAnsi="Arial Narrow"/>
                <w:color w:val="FF0000"/>
                <w:lang w:val="pl-PL"/>
              </w:rPr>
              <w:t>jeśli wysokość pomocy ustalana jest na podstawie ceny lub ilości takich produktów nabytych od producentów surowców lub wprowadzonych na rynek przez przedsiębiorstwa objęte pomocą; lub kiedy przyznanie pomocy zależy od faktu przekazania jej w części lub w całości producentom</w:t>
            </w:r>
            <w:r w:rsidRPr="00C203BF">
              <w:rPr>
                <w:rFonts w:ascii="Arial Narrow" w:hAnsi="Arial Narrow"/>
                <w:color w:val="FF0000"/>
                <w:spacing w:val="-1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color w:val="FF0000"/>
                <w:lang w:val="pl-PL"/>
              </w:rPr>
              <w:t>surowców;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państwa ułatwiającej zamykanie niekonkurencyjnych kopalń węgla (decyzja Rady nr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2010/787);</w:t>
            </w:r>
          </w:p>
          <w:p w:rsidR="00C203BF" w:rsidRPr="00C203BF" w:rsidRDefault="00C203BF" w:rsidP="004256D8">
            <w:pPr>
              <w:pStyle w:val="TableParagraph"/>
              <w:ind w:left="430" w:right="98"/>
              <w:jc w:val="both"/>
              <w:rPr>
                <w:rFonts w:ascii="Arial Narrow" w:hAnsi="Arial Narrow"/>
                <w:i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*</w:t>
            </w:r>
            <w:r w:rsidRPr="00C203BF">
              <w:rPr>
                <w:rFonts w:ascii="Arial Narrow" w:hAnsi="Arial Narrow"/>
                <w:i/>
                <w:lang w:val="pl-PL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 z</w:t>
            </w:r>
            <w:r w:rsidRPr="00C203BF">
              <w:rPr>
                <w:rFonts w:ascii="Arial Narrow" w:hAnsi="Arial Narrow"/>
                <w:i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i/>
                <w:lang w:val="pl-PL"/>
              </w:rPr>
              <w:t>pomocy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78"/>
        </w:trPr>
        <w:tc>
          <w:tcPr>
            <w:tcW w:w="9097" w:type="dxa"/>
            <w:tcBorders>
              <w:top w:val="single" w:sz="4" w:space="0" w:color="auto"/>
            </w:tcBorders>
            <w:shd w:val="clear" w:color="auto" w:fill="DADADA"/>
          </w:tcPr>
          <w:p w:rsidR="00C203BF" w:rsidRPr="00C203BF" w:rsidRDefault="00C203BF" w:rsidP="004256D8">
            <w:pPr>
              <w:pStyle w:val="TableParagraph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przedsiębiorstw, do których zastosowanie ma zasada Deggendorf (ust. 4)</w:t>
            </w:r>
          </w:p>
        </w:tc>
        <w:tc>
          <w:tcPr>
            <w:tcW w:w="4678" w:type="dxa"/>
            <w:vMerge w:val="restart"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991"/>
        </w:trPr>
        <w:tc>
          <w:tcPr>
            <w:tcW w:w="9097" w:type="dxa"/>
          </w:tcPr>
          <w:p w:rsidR="00C203BF" w:rsidRPr="00C203BF" w:rsidRDefault="00C203BF" w:rsidP="00C203BF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u w:val="thick"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 xml:space="preserve">ma zastosowania do programów pomocy, które nie wykluczają wyraźnie możliwości wypłacenia pomocy indywidualnej na rzecz przedsiębiorstwa, na którym ciąży obowiązek zwrotu  pomocy  wynikający  z  wcześniejszej  decyzji  Komisji  uznającej  pomoc za niezgodną z prawem/z rynkiem wewnętrznym, i </w:t>
            </w:r>
            <w:r w:rsidRPr="00C203BF">
              <w:rPr>
                <w:rFonts w:ascii="Arial Narrow" w:hAnsi="Arial Narrow"/>
                <w:b/>
                <w:u w:val="thick"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 xml:space="preserve">ma zastosowania do pomocy </w:t>
            </w:r>
            <w:r w:rsidRPr="00C203BF">
              <w:rPr>
                <w:rFonts w:ascii="Arial Narrow" w:hAnsi="Arial Narrow"/>
                <w:i/>
                <w:lang w:val="pl-PL"/>
              </w:rPr>
              <w:t>ad hoc</w:t>
            </w:r>
            <w:r>
              <w:rPr>
                <w:rFonts w:ascii="Arial Narrow" w:hAnsi="Arial Narrow"/>
                <w:i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dla takiego przedsiębiorstwa</w:t>
            </w:r>
            <w:r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4678" w:type="dxa"/>
            <w:vMerge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282"/>
        </w:trPr>
        <w:tc>
          <w:tcPr>
            <w:tcW w:w="9097" w:type="dxa"/>
            <w:shd w:val="clear" w:color="auto" w:fill="D9D9D9" w:themeFill="background1" w:themeFillShade="D9"/>
          </w:tcPr>
          <w:p w:rsidR="00C203BF" w:rsidRPr="00C203BF" w:rsidRDefault="00C203BF" w:rsidP="00C203BF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4678" w:type="dxa"/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423"/>
        </w:trPr>
        <w:tc>
          <w:tcPr>
            <w:tcW w:w="9097" w:type="dxa"/>
          </w:tcPr>
          <w:p w:rsidR="00C203BF" w:rsidRPr="00C203BF" w:rsidRDefault="00C203BF" w:rsidP="00C203BF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u w:val="thick"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ma zastosowania do przedsiębiorstw znajdujących się w trudnej sytuacji</w:t>
            </w:r>
          </w:p>
        </w:tc>
        <w:tc>
          <w:tcPr>
            <w:tcW w:w="4678" w:type="dxa"/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C203BF" w:rsidRDefault="00C203BF" w:rsidP="00C203BF">
      <w:pPr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833"/>
      </w:tblGrid>
      <w:tr w:rsidR="00C203BF" w:rsidRPr="00C203BF" w:rsidTr="004256D8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lastRenderedPageBreak/>
              <w:t>OGÓLNE WARUNKI ZGODNOŚCI</w:t>
            </w:r>
          </w:p>
        </w:tc>
        <w:tc>
          <w:tcPr>
            <w:tcW w:w="4833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C203BF" w:rsidRPr="00C203BF" w:rsidTr="004256D8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C203BF" w:rsidRPr="00C203BF" w:rsidRDefault="00C203BF" w:rsidP="00C203BF">
            <w:pPr>
              <w:pStyle w:val="TableParagraph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1 - Wykluczenie środków pomocy naruszających prawo Unii (ust. 5)</w:t>
            </w:r>
          </w:p>
        </w:tc>
        <w:tc>
          <w:tcPr>
            <w:tcW w:w="4833" w:type="dxa"/>
            <w:vMerge w:val="restart"/>
            <w:tcBorders>
              <w:left w:val="single" w:sz="41" w:space="0" w:color="DADADA"/>
            </w:tcBorders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F56021">
        <w:trPr>
          <w:trHeight w:hRule="exact" w:val="2591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F" w:rsidRPr="00C203BF" w:rsidRDefault="00C203BF" w:rsidP="00C203BF">
            <w:pPr>
              <w:pStyle w:val="TableParagraph"/>
              <w:ind w:right="659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ma zastosowania do środków pomocy państwa, które nierozerwalnie wiążą się z naruszeniem prawa Unii, w szczególności: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right="99" w:firstLine="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jeśli przyznanie pomocy uwarunkowane jest obowiązkiem posiadania przez beneficjenta siedziby w danym państwie członkowskim lub prowadzeniem przez niego działalności w przeważającej mierze w danym państwie członkowskim. Dozwolony jest wymóg posiadania w momencie wypłaty pomocy zakładu lub oddziału w państwie członkowskim przyznającym</w:t>
            </w:r>
            <w:r w:rsidRPr="00C203BF">
              <w:rPr>
                <w:rFonts w:ascii="Arial Narrow" w:hAnsi="Arial Narrow"/>
                <w:spacing w:val="-2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pomoc;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ind w:right="100" w:firstLine="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jeśli przyznanie pomocy uwarunkowane jest obowiązkiem korzystania z towarów produkcji krajowej lub usług</w:t>
            </w:r>
            <w:r w:rsidRPr="00C203BF">
              <w:rPr>
                <w:rFonts w:ascii="Arial Narrow" w:hAnsi="Arial Narrow"/>
                <w:spacing w:val="-18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krajowych;</w:t>
            </w:r>
          </w:p>
          <w:p w:rsidR="00C203BF" w:rsidRPr="00C203BF" w:rsidRDefault="00C203BF" w:rsidP="00C203BF">
            <w:pPr>
              <w:pStyle w:val="TableParagraph"/>
              <w:numPr>
                <w:ilvl w:val="0"/>
                <w:numId w:val="15"/>
              </w:numPr>
              <w:tabs>
                <w:tab w:val="left" w:pos="473"/>
              </w:tabs>
              <w:ind w:right="99" w:firstLine="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do środków pomocy ograniczających możliwości beneficjentów w zakresie wykorzystania wyników działalności badawczej, rozwojowej i innowacyjnej w innych państwach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członkowskich.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C203BF" w:rsidRPr="00C203BF" w:rsidRDefault="00C203BF" w:rsidP="00C203BF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4256D8">
        <w:trPr>
          <w:trHeight w:hRule="exact" w:val="26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4833" w:type="dxa"/>
            <w:vMerge w:val="restart"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F56021">
        <w:trPr>
          <w:trHeight w:hRule="exact" w:val="1582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Pr="00C203BF" w:rsidRDefault="00F56021" w:rsidP="00F56021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ma zastosowania do pomocy przekraczającej następujące progi: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ind w:right="98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w przypadku pomocy inwestycyjnej na kulturę i zachowanie dziedzictwa kulturowego: 100 mln EUR na projekt; pomoc operacyjna na kulturę i zachowanie dziedzictwa kulturowego: 50 mln EUR dla jednego przedsiębiorstwa</w:t>
            </w:r>
            <w:r w:rsidR="002E7BFC"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spacing w:val="-3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rocznie;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ind w:right="97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w przypadku pomocy na rzecz utworów audiowizualnych: 50 mln EUR na projekt rocznie.</w:t>
            </w:r>
          </w:p>
          <w:p w:rsidR="00F56021" w:rsidRPr="00C203BF" w:rsidRDefault="00F56021" w:rsidP="00F56021">
            <w:pPr>
              <w:pStyle w:val="TableParagrap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Nie </w:t>
            </w:r>
            <w:r w:rsidRPr="00C203BF">
              <w:rPr>
                <w:rFonts w:ascii="Arial Narrow" w:hAnsi="Arial Narrow"/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4256D8">
        <w:trPr>
          <w:trHeight w:hRule="exact" w:val="278"/>
        </w:trPr>
        <w:tc>
          <w:tcPr>
            <w:tcW w:w="9097" w:type="dxa"/>
            <w:tcBorders>
              <w:top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Artykuł 5 - Przejrzystość pomocy</w:t>
            </w:r>
          </w:p>
        </w:tc>
        <w:tc>
          <w:tcPr>
            <w:tcW w:w="4833" w:type="dxa"/>
            <w:vMerge w:val="restart"/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F56021">
        <w:trPr>
          <w:trHeight w:hRule="exact" w:val="4273"/>
        </w:trPr>
        <w:tc>
          <w:tcPr>
            <w:tcW w:w="9097" w:type="dxa"/>
          </w:tcPr>
          <w:p w:rsidR="00F56021" w:rsidRPr="00C203BF" w:rsidRDefault="00F56021" w:rsidP="00F56021">
            <w:pPr>
              <w:pStyle w:val="TableParagraph"/>
              <w:spacing w:line="250" w:lineRule="exact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Ma zastosowanie tylko do pomocy przejrzystej. Za pomoc przejrzystą uznaje się:</w:t>
            </w:r>
          </w:p>
          <w:p w:rsidR="002E7BFC" w:rsidRDefault="00F56021" w:rsidP="002E7BF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dotacje oraz dotacje na spłatę</w:t>
            </w:r>
            <w:r w:rsidRPr="00C203BF">
              <w:rPr>
                <w:rFonts w:ascii="Arial Narrow" w:hAnsi="Arial Narrow"/>
                <w:spacing w:val="-2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odsetek;</w:t>
            </w:r>
          </w:p>
          <w:p w:rsidR="00F56021" w:rsidRPr="002E7BFC" w:rsidRDefault="00F56021" w:rsidP="002E7BF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2E7BFC">
              <w:rPr>
                <w:rFonts w:ascii="Arial Narrow" w:hAnsi="Arial Narrow"/>
                <w:lang w:val="pl-PL"/>
              </w:rPr>
              <w:t>pożyczki (gdzie ekwiwalent dotacji brutto oblicza się na podstawie stopy</w:t>
            </w:r>
            <w:r w:rsidRPr="002E7BFC">
              <w:rPr>
                <w:rFonts w:ascii="Arial Narrow" w:hAnsi="Arial Narrow"/>
                <w:spacing w:val="-3"/>
                <w:lang w:val="pl-PL"/>
              </w:rPr>
              <w:t xml:space="preserve"> </w:t>
            </w:r>
            <w:r w:rsidRPr="002E7BFC">
              <w:rPr>
                <w:rFonts w:ascii="Arial Narrow" w:hAnsi="Arial Narrow"/>
                <w:lang w:val="pl-PL"/>
              </w:rPr>
              <w:t>referencyjnej obowiązującej w dniu przyznania pomocy);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</w:rPr>
            </w:pPr>
            <w:r w:rsidRPr="00C203BF">
              <w:rPr>
                <w:rFonts w:ascii="Arial Narrow" w:hAnsi="Arial Narrow"/>
              </w:rPr>
              <w:t>gwarancje</w:t>
            </w:r>
          </w:p>
          <w:p w:rsidR="00F56021" w:rsidRPr="00C203BF" w:rsidRDefault="00F56021" w:rsidP="00F56021">
            <w:pPr>
              <w:pStyle w:val="TableParagraph"/>
              <w:ind w:left="430"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(ekwiwalent dotacji brutto obliczony na podstawie bezpiecznych stawek określonych w obwieszczeniu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Komisji</w:t>
            </w:r>
          </w:p>
          <w:p w:rsidR="00F56021" w:rsidRPr="00C203BF" w:rsidRDefault="00F56021" w:rsidP="00F56021">
            <w:pPr>
              <w:pStyle w:val="TableParagraph"/>
              <w:spacing w:line="253" w:lineRule="exact"/>
              <w:ind w:left="148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lub</w:t>
            </w:r>
          </w:p>
          <w:p w:rsidR="00F56021" w:rsidRPr="00C203BF" w:rsidRDefault="00F56021" w:rsidP="00F56021">
            <w:pPr>
              <w:pStyle w:val="TableParagraph"/>
              <w:ind w:left="430"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sprawie wyłączeń blokowych);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korzyści podatkowe (gdzie przewidziano pułap zapobiegający przekroczeniu obowiązującego</w:t>
            </w:r>
            <w:r w:rsidRPr="00C203BF">
              <w:rPr>
                <w:rFonts w:ascii="Arial Narrow" w:hAnsi="Arial Narrow"/>
                <w:spacing w:val="-1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progu);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zaliczki zwrotne (jeżeli łączna nominalna kwota zaliczek zwrotnych nie przekracza progów obowiązujących na mocy tego rozporządzenia lub jeżeli metoda obliczania ekwiwalentu dotacji brutto zaliczki zwrotnej została — po zgłoszeniu jej Komisji — zaakceptowana przed wprowadzeniem</w:t>
            </w:r>
            <w:r w:rsidRPr="00C203BF">
              <w:rPr>
                <w:rFonts w:ascii="Arial Narrow" w:hAnsi="Arial Narrow"/>
                <w:spacing w:val="-2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środka)</w:t>
            </w:r>
          </w:p>
        </w:tc>
        <w:tc>
          <w:tcPr>
            <w:tcW w:w="4833" w:type="dxa"/>
            <w:vMerge/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C203BF" w:rsidRPr="00C203BF" w:rsidRDefault="00C203BF" w:rsidP="00C203BF">
      <w:pPr>
        <w:rPr>
          <w:rFonts w:ascii="Arial Narrow" w:hAnsi="Arial Narrow"/>
          <w:sz w:val="22"/>
          <w:szCs w:val="22"/>
        </w:rPr>
        <w:sectPr w:rsidR="00C203BF" w:rsidRPr="00C203BF" w:rsidSect="00C203BF">
          <w:headerReference w:type="default" r:id="rId7"/>
          <w:type w:val="continuous"/>
          <w:pgSz w:w="15840" w:h="12240" w:orient="landscape"/>
          <w:pgMar w:top="720" w:right="720" w:bottom="720" w:left="720" w:header="0" w:footer="170" w:gutter="0"/>
          <w:cols w:space="708"/>
          <w:docGrid w:linePitch="326"/>
        </w:sectPr>
      </w:pPr>
    </w:p>
    <w:p w:rsidR="00C203BF" w:rsidRPr="00C203BF" w:rsidRDefault="00C203BF" w:rsidP="00C203BF">
      <w:pPr>
        <w:pStyle w:val="Tekstpodstawowy"/>
        <w:spacing w:before="5" w:after="1"/>
        <w:rPr>
          <w:rFonts w:ascii="Arial Narrow" w:hAnsi="Arial Narrow"/>
          <w:sz w:val="22"/>
          <w:szCs w:val="22"/>
        </w:rPr>
      </w:pPr>
    </w:p>
    <w:p w:rsidR="00C203BF" w:rsidRDefault="00C203BF" w:rsidP="00C203BF">
      <w:pPr>
        <w:rPr>
          <w:rFonts w:ascii="Arial Narrow" w:hAnsi="Arial Narrow"/>
          <w:sz w:val="22"/>
          <w:szCs w:val="22"/>
        </w:rPr>
      </w:pPr>
    </w:p>
    <w:p w:rsidR="00F56021" w:rsidRDefault="00F56021" w:rsidP="00C203BF">
      <w:pPr>
        <w:rPr>
          <w:rFonts w:ascii="Arial Narrow" w:hAnsi="Arial Narrow"/>
          <w:sz w:val="22"/>
          <w:szCs w:val="22"/>
        </w:rPr>
      </w:pPr>
    </w:p>
    <w:p w:rsidR="00F56021" w:rsidRPr="00C203BF" w:rsidRDefault="00F56021" w:rsidP="00C203BF">
      <w:pPr>
        <w:rPr>
          <w:rFonts w:ascii="Arial Narrow" w:hAnsi="Arial Narrow"/>
          <w:sz w:val="22"/>
          <w:szCs w:val="22"/>
        </w:rPr>
        <w:sectPr w:rsidR="00F56021" w:rsidRPr="00C203BF" w:rsidSect="00C203BF">
          <w:footerReference w:type="default" r:id="rId8"/>
          <w:type w:val="continuous"/>
          <w:pgSz w:w="15840" w:h="12240" w:orient="landscape"/>
          <w:pgMar w:top="720" w:right="720" w:bottom="720" w:left="720" w:header="738" w:footer="756" w:gutter="0"/>
          <w:cols w:space="708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833"/>
      </w:tblGrid>
      <w:tr w:rsidR="00F56021" w:rsidRPr="00C203BF" w:rsidTr="00A92B2B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lastRenderedPageBreak/>
              <w:t>OGÓLNE WARUNKI ZGODNOŚCI</w:t>
            </w:r>
          </w:p>
        </w:tc>
        <w:tc>
          <w:tcPr>
            <w:tcW w:w="4833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F56021" w:rsidRPr="00C203BF" w:rsidTr="00A92B2B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Artykuł 7 - Koszty kwalifikowalne</w:t>
            </w:r>
          </w:p>
        </w:tc>
        <w:tc>
          <w:tcPr>
            <w:tcW w:w="4833" w:type="dxa"/>
            <w:vMerge w:val="restart"/>
            <w:tcBorders>
              <w:left w:val="single" w:sz="41" w:space="0" w:color="DADADA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4152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Pr="00C203BF" w:rsidRDefault="00F56021" w:rsidP="00F56021">
            <w:pPr>
              <w:pStyle w:val="TableParagrap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Do celów obliczania intensywności pomocy (jeżeli intensywność pomocy nie wynosi 100%)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  <w:tab w:val="left" w:pos="464"/>
              </w:tabs>
              <w:spacing w:line="269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kwoty przed potrąceniem podatku lub innych</w:t>
            </w:r>
            <w:r w:rsidRPr="00C203BF">
              <w:rPr>
                <w:rFonts w:ascii="Arial Narrow" w:hAnsi="Arial Narrow"/>
                <w:spacing w:val="-2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opłat;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 przyznawana w formie innej niż dotacja, kwotę pomocy stanowi ekwiwalent dotacji brutto</w:t>
            </w:r>
            <w:r w:rsidRPr="00C203BF">
              <w:rPr>
                <w:rFonts w:ascii="Arial Narrow" w:hAnsi="Arial Narrow"/>
                <w:spacing w:val="-9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pomocy;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 wypłacana w kilku ratach jest dyskontowana do wartości w momencie jej przyznania (podobnie w przypadku kosztów kwalifikowalnych i przy zastosowaniu stopy procentowej obowiązującej w momencie przyznania</w:t>
            </w:r>
            <w:r w:rsidRPr="00C203BF">
              <w:rPr>
                <w:rFonts w:ascii="Arial Narrow" w:hAnsi="Arial Narrow"/>
                <w:spacing w:val="-31"/>
                <w:lang w:val="pl-PL"/>
              </w:rPr>
              <w:t xml:space="preserve"> </w:t>
            </w:r>
            <w:r w:rsidR="002E7BFC">
              <w:rPr>
                <w:rFonts w:ascii="Arial Narrow" w:hAnsi="Arial Narrow"/>
                <w:spacing w:val="-3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pomocy);</w:t>
            </w:r>
          </w:p>
          <w:p w:rsidR="002E7BFC" w:rsidRDefault="00F56021" w:rsidP="002E7BFC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1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raty pomocy w formie korzyści podatkowych są dyskontowane na podstawie stóp dyskontowych obowiązujących w momencie realizacji korzyści</w:t>
            </w:r>
            <w:r w:rsidR="002E7BFC"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spacing w:val="-3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podatkowej;</w:t>
            </w:r>
          </w:p>
          <w:p w:rsidR="00F56021" w:rsidRPr="002E7BFC" w:rsidRDefault="00F56021" w:rsidP="002E7BFC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101"/>
              <w:jc w:val="both"/>
              <w:rPr>
                <w:rFonts w:ascii="Arial Narrow" w:hAnsi="Arial Narrow"/>
                <w:lang w:val="pl-PL"/>
              </w:rPr>
            </w:pPr>
            <w:r w:rsidRPr="002E7BFC">
              <w:rPr>
                <w:rFonts w:ascii="Arial Narrow" w:hAnsi="Arial Narrow"/>
                <w:lang w:val="pl-PL"/>
              </w:rPr>
              <w:t xml:space="preserve"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spłacone przy zastosowaniu stopy procentowej  co  najmniej  równej  stopie  dyskontowej  obowiązującej  w  </w:t>
            </w:r>
            <w:r w:rsidRPr="002E7BFC">
              <w:rPr>
                <w:rFonts w:ascii="Arial Narrow" w:hAnsi="Arial Narrow"/>
                <w:spacing w:val="12"/>
                <w:lang w:val="pl-PL"/>
              </w:rPr>
              <w:t xml:space="preserve"> </w:t>
            </w:r>
            <w:r w:rsidRPr="002E7BFC">
              <w:rPr>
                <w:rFonts w:ascii="Arial Narrow" w:hAnsi="Arial Narrow"/>
                <w:lang w:val="pl-PL"/>
              </w:rPr>
              <w:t>momencie przyznania pomocy, to maksymalne poziomy intensywności pomocy można  zwiększyć o 10 punktów</w:t>
            </w:r>
            <w:r w:rsidRPr="002E7BFC">
              <w:rPr>
                <w:rFonts w:ascii="Arial Narrow" w:hAnsi="Arial Narrow"/>
                <w:spacing w:val="-19"/>
                <w:lang w:val="pl-PL"/>
              </w:rPr>
              <w:t xml:space="preserve"> </w:t>
            </w:r>
            <w:r w:rsidRPr="002E7BFC">
              <w:rPr>
                <w:rFonts w:ascii="Arial Narrow" w:hAnsi="Arial Narrow"/>
                <w:lang w:val="pl-PL"/>
              </w:rPr>
              <w:t>procentowych;</w:t>
            </w:r>
          </w:p>
          <w:p w:rsidR="00F56021" w:rsidRPr="00C203BF" w:rsidRDefault="00F56021" w:rsidP="00F56021">
            <w:pPr>
              <w:pStyle w:val="TableParagraph"/>
              <w:rPr>
                <w:rFonts w:ascii="Arial Narrow" w:hAnsi="Arial Narrow"/>
              </w:rPr>
            </w:pPr>
            <w:r w:rsidRPr="00C203BF">
              <w:rPr>
                <w:rFonts w:ascii="Arial Narrow" w:hAnsi="Arial Narrow"/>
              </w:rPr>
              <w:t>Koszty kwalifikowalne i dokumentacja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98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kwalifikowalne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poparte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jasną,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szczegółową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aktualną</w:t>
            </w:r>
            <w:r w:rsidRPr="00C203BF">
              <w:rPr>
                <w:rFonts w:ascii="Arial Narrow" w:hAnsi="Arial Narrow"/>
                <w:spacing w:val="-7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dokumentacją.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263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Artykuł 8 - Kumulacja</w:t>
            </w:r>
          </w:p>
        </w:tc>
        <w:tc>
          <w:tcPr>
            <w:tcW w:w="4833" w:type="dxa"/>
            <w:vMerge w:val="restart"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4427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W przypadku progów powodujących obowiązek zgłoszenia  oraz maksymalnych progów intensywności pomocy uwzględnia się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całkowitą kwotę </w:t>
            </w:r>
            <w:r w:rsidRPr="00C203BF">
              <w:rPr>
                <w:rFonts w:ascii="Arial Narrow" w:hAnsi="Arial Narrow"/>
                <w:lang w:val="pl-PL"/>
              </w:rPr>
              <w:t>pomocy państwa (ust.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left="462" w:right="98" w:hanging="35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Jeżeli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finansowanie Unii </w:t>
            </w:r>
            <w:r w:rsidRPr="00C203BF">
              <w:rPr>
                <w:rFonts w:ascii="Arial Narrow" w:hAnsi="Arial Narrow"/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C203BF">
              <w:rPr>
                <w:rFonts w:ascii="Arial Narrow" w:hAnsi="Arial Narrow"/>
                <w:spacing w:val="-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2).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Wyłączoną pomoc można kumulować z wszelką inną pomocą państwa, pod warunkiem że środki te dotyczą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różnych, możliwych do wyodrębnienia kosztów kwalifikowalnych </w:t>
            </w:r>
            <w:r w:rsidRPr="00C203BF">
              <w:rPr>
                <w:rFonts w:ascii="Arial Narrow" w:hAnsi="Arial Narrow"/>
                <w:lang w:val="pl-PL"/>
              </w:rPr>
              <w:t>(ust. 3 lit.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a)).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Brak możliwości kumulowania wyłączonej pomocy z inną pomocą państwa w odniesieniu do </w:t>
            </w:r>
            <w:r w:rsidRPr="00C203BF">
              <w:rPr>
                <w:rFonts w:ascii="Arial Narrow" w:hAnsi="Arial Narrow"/>
                <w:b/>
                <w:lang w:val="pl-PL"/>
              </w:rPr>
              <w:t>tych samych kosztów kwalifikowalnych</w:t>
            </w:r>
            <w:r w:rsidRPr="00C203BF">
              <w:rPr>
                <w:rFonts w:ascii="Arial Narrow" w:hAnsi="Arial Narrow"/>
                <w:lang w:val="pl-PL"/>
              </w:rPr>
              <w:t>, pokrywających się częściowo lub w całości, jeżeli taka kumulacja powoduje przekroczenie najwyższego poziomu intensywności pomocy lub kwoty pomocy mających zastosowanie do tej pomocy (ust. 3 lit.</w:t>
            </w:r>
            <w:r w:rsidRPr="00C203BF">
              <w:rPr>
                <w:rFonts w:ascii="Arial Narrow" w:hAnsi="Arial Narrow"/>
                <w:spacing w:val="-8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b)).</w:t>
            </w:r>
          </w:p>
          <w:p w:rsidR="00F56021" w:rsidRPr="00C203BF" w:rsidRDefault="00F56021" w:rsidP="00F56021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ind w:left="462" w:right="99" w:hanging="35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Pomocy państwa wyłączonej na mocy ogólnego rozporządzenia w sprawie wyłączeń blokowych nie można kumulować z żadną pomocą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de minimis </w:t>
            </w:r>
            <w:r w:rsidRPr="00C203BF">
              <w:rPr>
                <w:rFonts w:ascii="Arial Narrow" w:hAnsi="Arial Narrow"/>
                <w:lang w:val="pl-PL"/>
              </w:rPr>
              <w:t>w odniesieniu do tych samych kosztów kwalifikowalnych, jeżeli skutkiem takiej kumulacji byłoby przekroczenie poziomów intensywności pomocy określonych w rozdziale III rozporządzenia (ust.</w:t>
            </w:r>
            <w:r w:rsidRPr="00C203BF">
              <w:rPr>
                <w:rFonts w:ascii="Arial Narrow" w:hAnsi="Arial Narrow"/>
                <w:spacing w:val="-1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5).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F56021" w:rsidRDefault="00F56021" w:rsidP="00C203BF">
      <w:pPr>
        <w:rPr>
          <w:rFonts w:ascii="Arial Narrow" w:hAnsi="Arial Narrow"/>
          <w:sz w:val="22"/>
          <w:szCs w:val="22"/>
        </w:rPr>
      </w:pPr>
    </w:p>
    <w:p w:rsidR="00F56021" w:rsidRDefault="00F56021" w:rsidP="00F56021">
      <w:pPr>
        <w:rPr>
          <w:rFonts w:ascii="Arial Narrow" w:hAnsi="Arial Narrow"/>
          <w:sz w:val="22"/>
          <w:szCs w:val="22"/>
        </w:rPr>
      </w:pPr>
    </w:p>
    <w:p w:rsidR="00F56021" w:rsidRDefault="00F56021" w:rsidP="00F56021">
      <w:pPr>
        <w:tabs>
          <w:tab w:val="left" w:pos="538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4833"/>
      </w:tblGrid>
      <w:tr w:rsidR="00F56021" w:rsidRPr="00C203BF" w:rsidTr="00A92B2B">
        <w:trPr>
          <w:trHeight w:hRule="exact" w:val="258"/>
        </w:trPr>
        <w:tc>
          <w:tcPr>
            <w:tcW w:w="9097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OGÓLNE WARUNKI ZGODNOŚCI</w:t>
            </w:r>
          </w:p>
        </w:tc>
        <w:tc>
          <w:tcPr>
            <w:tcW w:w="4833" w:type="dxa"/>
            <w:shd w:val="clear" w:color="auto" w:fill="333399"/>
          </w:tcPr>
          <w:p w:rsidR="00F56021" w:rsidRPr="00C203BF" w:rsidRDefault="00F56021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F56021" w:rsidRPr="00C203BF" w:rsidTr="00A92B2B">
        <w:trPr>
          <w:trHeight w:hRule="exact" w:val="268"/>
        </w:trPr>
        <w:tc>
          <w:tcPr>
            <w:tcW w:w="9097" w:type="dxa"/>
            <w:tcBorders>
              <w:bottom w:val="single" w:sz="4" w:space="0" w:color="auto"/>
            </w:tcBorders>
            <w:shd w:val="clear" w:color="auto" w:fill="DADADA"/>
          </w:tcPr>
          <w:p w:rsidR="00F56021" w:rsidRPr="00C203BF" w:rsidRDefault="00F56021" w:rsidP="00F56021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Artykuł 9 - Publikacja i informacja</w:t>
            </w:r>
          </w:p>
        </w:tc>
        <w:tc>
          <w:tcPr>
            <w:tcW w:w="4833" w:type="dxa"/>
            <w:vMerge w:val="restart"/>
            <w:tcBorders>
              <w:left w:val="single" w:sz="41" w:space="0" w:color="DADADA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F56021" w:rsidRPr="00C203BF" w:rsidTr="00A92B2B">
        <w:trPr>
          <w:trHeight w:hRule="exact" w:val="7696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21" w:rsidRDefault="00F56021" w:rsidP="00F56021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431"/>
              </w:tabs>
              <w:ind w:right="100" w:hanging="327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Publikacja na kompleksowej stronie internetowej dotyczącej pomocy państwa następujących danych na szczeblu krajowym lub regionalnym (ust.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1):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a.</w:t>
            </w:r>
            <w:r w:rsidRPr="00F56021">
              <w:rPr>
                <w:rFonts w:ascii="Arial Narrow" w:hAnsi="Arial Narrow"/>
                <w:lang w:val="pl-PL"/>
              </w:rPr>
              <w:tab/>
              <w:t>skrócone informacje (zob. art. 11) lub link do nich;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b.</w:t>
            </w:r>
            <w:r w:rsidRPr="00F56021">
              <w:rPr>
                <w:rFonts w:ascii="Arial Narrow" w:hAnsi="Arial Narrow"/>
                <w:lang w:val="pl-PL"/>
              </w:rPr>
              <w:tab/>
              <w:t>pełen tekst poszczególnych środków pomocy (zob. art. 11) lub link zapewniający dostęp do pełnego tekstu;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c.</w:t>
            </w:r>
            <w:r w:rsidRPr="00F56021">
              <w:rPr>
                <w:rFonts w:ascii="Arial Narrow" w:hAnsi="Arial Narrow"/>
                <w:lang w:val="pl-PL"/>
              </w:rPr>
              <w:tab/>
              <w:t>informacje na temat każdej pomocy indywidualnej przekraczającej 500 000 EUR (zob.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F56021">
              <w:rPr>
                <w:rFonts w:ascii="Arial Narrow" w:hAnsi="Arial Narrow"/>
                <w:lang w:val="pl-PL"/>
              </w:rPr>
              <w:t>załącznik III).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W odniesieniu do pomocy przyznanej na projekty w ramach europejskiej współpracy terytorialnej, informacje, o których mowa w tym ustępie, umieszcza się na stronie internetowej państwa członkowskiego, w którym dana instytucja zarządzająca,  zgodnie z definicją w art. 21 rozporządzenia Parlamentu Europejskiego i Rady (UE) nr 1299/2013, ma siedzibę. Opcjonalnie, uczestniczące państwa członkowskie mogą również postanowić, że każde z nich dostarcza informacje dotyczące środków pomocy na swoim terytorium na odpowiednich stronach internetowych.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•</w:t>
            </w:r>
            <w:r w:rsidRPr="00F56021">
              <w:rPr>
                <w:rFonts w:ascii="Arial Narrow" w:hAnsi="Arial Narrow"/>
                <w:lang w:val="pl-PL"/>
              </w:rPr>
              <w:tab/>
              <w:t>W przypadku programów w formie korzyści podatkowych oraz programów objętych art. 16 i 21 (z wyjątkiem MŚP, które nie zrealizowały żadnej sprzedaży komercyjnej na jakimkolwiek rynku) warunki określone w ust. 1 lit. c) tego artykułu uznaje się za spełnione, jeżeli państwa członkowskie publikują wymagane informacje dotyczące kwot pomocy indywidualnej w następujących przedziałach (w mln EUR) (ust. 2):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0,5-1;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1-2;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2-5;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5-10;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10-30; oraz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-</w:t>
            </w:r>
            <w:r w:rsidRPr="00F56021">
              <w:rPr>
                <w:rFonts w:ascii="Arial Narrow" w:hAnsi="Arial Narrow"/>
                <w:lang w:val="pl-PL"/>
              </w:rPr>
              <w:tab/>
              <w:t>30 lub więcej.</w:t>
            </w:r>
          </w:p>
          <w:p w:rsidR="00F56021" w:rsidRPr="00F56021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•</w:t>
            </w:r>
            <w:r w:rsidRPr="00F56021">
              <w:rPr>
                <w:rFonts w:ascii="Arial Narrow" w:hAnsi="Arial Narrow"/>
                <w:lang w:val="pl-PL"/>
              </w:rPr>
              <w:tab/>
              <w:t>Informacje, o których mowa w ust. 1 lit. c), przedstawia się i udostępnia w sposób znormalizowany (zob. załącznik III), umożliwiający ich sprawne wyszukiwanie i pobieranie. Informacje, o których mowa w ust. 1, są publikowane w terminie 6 miesięcy od daty przyznania pomocy lub, w przypadku pomocy w formie ulgi podatkowej, w ciągu 1 roku od daty, w której wymagane jest złożenie deklaracji podatkowej, i będą dostępne co najmniej przez okres 10 lat od dnia, w którym pomoc została przyznana (ust. 4).</w:t>
            </w:r>
          </w:p>
          <w:p w:rsidR="00F56021" w:rsidRPr="00C203BF" w:rsidRDefault="00F56021" w:rsidP="00F56021">
            <w:pPr>
              <w:pStyle w:val="TableParagraph"/>
              <w:tabs>
                <w:tab w:val="left" w:pos="430"/>
                <w:tab w:val="left" w:pos="431"/>
              </w:tabs>
              <w:ind w:left="430" w:right="100"/>
              <w:rPr>
                <w:rFonts w:ascii="Arial Narrow" w:hAnsi="Arial Narrow"/>
                <w:lang w:val="pl-PL"/>
              </w:rPr>
            </w:pPr>
            <w:r w:rsidRPr="00F56021">
              <w:rPr>
                <w:rFonts w:ascii="Arial Narrow" w:hAnsi="Arial Narrow"/>
                <w:lang w:val="pl-PL"/>
              </w:rPr>
              <w:t>•</w:t>
            </w:r>
            <w:r w:rsidRPr="00F56021">
              <w:rPr>
                <w:rFonts w:ascii="Arial Narrow" w:hAnsi="Arial Narrow"/>
                <w:lang w:val="pl-PL"/>
              </w:rPr>
              <w:tab/>
              <w:t>Państwa członkowskie muszą zastosować się do przepisów tego artykułu najpóźniej w ciągu dwóch lat od daty wejścia w życie rozporządzenia (tj. 1.7.2016) (ust. 6).</w:t>
            </w:r>
          </w:p>
        </w:tc>
        <w:tc>
          <w:tcPr>
            <w:tcW w:w="4833" w:type="dxa"/>
            <w:vMerge/>
            <w:tcBorders>
              <w:left w:val="single" w:sz="4" w:space="0" w:color="auto"/>
            </w:tcBorders>
          </w:tcPr>
          <w:p w:rsidR="00F56021" w:rsidRPr="00C203BF" w:rsidRDefault="00F56021" w:rsidP="00F56021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p w:rsidR="00F56021" w:rsidRDefault="00F56021" w:rsidP="00F56021">
      <w:pPr>
        <w:tabs>
          <w:tab w:val="left" w:pos="5385"/>
        </w:tabs>
        <w:rPr>
          <w:rFonts w:ascii="Arial Narrow" w:hAnsi="Arial Narrow"/>
          <w:sz w:val="22"/>
          <w:szCs w:val="22"/>
        </w:rPr>
      </w:pPr>
    </w:p>
    <w:p w:rsidR="00F56021" w:rsidRDefault="00F56021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F56021" w:rsidRDefault="00F56021" w:rsidP="00F56021">
      <w:pPr>
        <w:tabs>
          <w:tab w:val="left" w:pos="5385"/>
        </w:tabs>
        <w:rPr>
          <w:rFonts w:ascii="Arial Narrow" w:hAnsi="Arial Narrow"/>
          <w:sz w:val="22"/>
          <w:szCs w:val="22"/>
        </w:rPr>
      </w:pPr>
    </w:p>
    <w:p w:rsidR="00C203BF" w:rsidRPr="00C203BF" w:rsidRDefault="00C203BF" w:rsidP="00C203BF">
      <w:pPr>
        <w:pStyle w:val="Tekstpodstawowy"/>
        <w:spacing w:before="70"/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>Definicje pojęć</w:t>
      </w:r>
      <w:r w:rsidRPr="00C203BF">
        <w:rPr>
          <w:rFonts w:ascii="Arial Narrow" w:hAnsi="Arial Narrow"/>
          <w:sz w:val="22"/>
          <w:szCs w:val="22"/>
        </w:rPr>
        <w:t>: zob. art. 2 (uwaga na nową definicję przedsiębiorstwa znajdującego się w trudnej sytuacji)</w:t>
      </w:r>
    </w:p>
    <w:p w:rsidR="00C203BF" w:rsidRPr="00C203BF" w:rsidRDefault="00C203BF" w:rsidP="00C203BF">
      <w:pPr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>Sprawozdawczość</w:t>
      </w:r>
      <w:r w:rsidRPr="00C203BF">
        <w:rPr>
          <w:rFonts w:ascii="Arial Narrow" w:hAnsi="Arial Narrow"/>
          <w:sz w:val="22"/>
          <w:szCs w:val="22"/>
        </w:rPr>
        <w:t>: artykuł 11</w:t>
      </w:r>
    </w:p>
    <w:p w:rsidR="00C203BF" w:rsidRPr="00C203BF" w:rsidRDefault="00C203BF" w:rsidP="00C203BF">
      <w:pPr>
        <w:spacing w:line="252" w:lineRule="exact"/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 xml:space="preserve">Monitorowanie: </w:t>
      </w:r>
      <w:r w:rsidRPr="00C203BF">
        <w:rPr>
          <w:rFonts w:ascii="Arial Narrow" w:hAnsi="Arial Narrow"/>
          <w:sz w:val="22"/>
          <w:szCs w:val="22"/>
        </w:rPr>
        <w:t>artykuł 12</w:t>
      </w:r>
    </w:p>
    <w:p w:rsidR="00C203BF" w:rsidRPr="00C203BF" w:rsidRDefault="00C203BF" w:rsidP="00C203BF">
      <w:pPr>
        <w:spacing w:line="275" w:lineRule="exact"/>
        <w:ind w:left="817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b/>
          <w:sz w:val="22"/>
          <w:szCs w:val="22"/>
        </w:rPr>
        <w:t>Wycofanie przywileju wyłączenia grupowego</w:t>
      </w:r>
      <w:r w:rsidRPr="00C203BF">
        <w:rPr>
          <w:rFonts w:ascii="Arial Narrow" w:hAnsi="Arial Narrow"/>
          <w:sz w:val="22"/>
          <w:szCs w:val="22"/>
        </w:rPr>
        <w:t>: artykuł 10</w:t>
      </w:r>
    </w:p>
    <w:p w:rsidR="00C203BF" w:rsidRPr="00C203BF" w:rsidRDefault="00C203BF" w:rsidP="00C203BF">
      <w:pPr>
        <w:pStyle w:val="Nagwek1"/>
        <w:keepNext w:val="0"/>
        <w:keepLines w:val="0"/>
        <w:widowControl w:val="0"/>
        <w:numPr>
          <w:ilvl w:val="0"/>
          <w:numId w:val="18"/>
        </w:numPr>
        <w:tabs>
          <w:tab w:val="left" w:pos="3592"/>
        </w:tabs>
        <w:spacing w:before="1"/>
        <w:ind w:left="3591" w:hanging="257"/>
        <w:jc w:val="left"/>
        <w:rPr>
          <w:rFonts w:ascii="Arial Narrow" w:hAnsi="Arial Narrow"/>
          <w:sz w:val="22"/>
          <w:szCs w:val="22"/>
        </w:rPr>
      </w:pPr>
      <w:r w:rsidRPr="00C203BF">
        <w:rPr>
          <w:rFonts w:ascii="Arial Narrow" w:hAnsi="Arial Narrow"/>
          <w:sz w:val="22"/>
          <w:szCs w:val="22"/>
          <w:u w:val="thick"/>
        </w:rPr>
        <w:t>Szczególne warunki dotyczące pomocy na kulturę i zachowanie dziedzictwa</w:t>
      </w:r>
      <w:r w:rsidRPr="00C203BF">
        <w:rPr>
          <w:rFonts w:ascii="Arial Narrow" w:hAnsi="Arial Narrow"/>
          <w:spacing w:val="-37"/>
          <w:sz w:val="22"/>
          <w:szCs w:val="22"/>
          <w:u w:val="thick"/>
        </w:rPr>
        <w:t xml:space="preserve"> </w:t>
      </w:r>
      <w:r w:rsidRPr="00C203BF">
        <w:rPr>
          <w:rFonts w:ascii="Arial Narrow" w:hAnsi="Arial Narrow"/>
          <w:sz w:val="22"/>
          <w:szCs w:val="22"/>
          <w:u w:val="thick"/>
        </w:rPr>
        <w:t>kulturowego</w:t>
      </w:r>
    </w:p>
    <w:p w:rsidR="00C203BF" w:rsidRPr="00C203BF" w:rsidRDefault="00C203BF" w:rsidP="00C203BF">
      <w:pPr>
        <w:pStyle w:val="Tekstpodstawowy"/>
        <w:spacing w:before="1" w:after="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1392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6"/>
        <w:gridCol w:w="4820"/>
      </w:tblGrid>
      <w:tr w:rsidR="00C203BF" w:rsidRPr="00C203BF" w:rsidTr="00A92B2B">
        <w:trPr>
          <w:trHeight w:hRule="exact" w:val="516"/>
        </w:trPr>
        <w:tc>
          <w:tcPr>
            <w:tcW w:w="9106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924" w:right="567"/>
              <w:jc w:val="center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color w:val="FFFFFF"/>
                <w:lang w:val="pl-PL"/>
              </w:rPr>
              <w:t>ARTYKUŁ 53</w:t>
            </w:r>
          </w:p>
          <w:p w:rsidR="00C203BF" w:rsidRPr="00C203BF" w:rsidRDefault="00C203BF" w:rsidP="004256D8">
            <w:pPr>
              <w:pStyle w:val="TableParagraph"/>
              <w:ind w:left="925" w:right="567"/>
              <w:jc w:val="center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color w:val="FFFFFF"/>
                <w:lang w:val="pl-PL"/>
              </w:rPr>
              <w:t>POMOC NA KULTURĘ I ZACHOWANIE DZIEDZICTWA KULTUROWEGO</w:t>
            </w:r>
          </w:p>
        </w:tc>
        <w:tc>
          <w:tcPr>
            <w:tcW w:w="4820" w:type="dxa"/>
            <w:shd w:val="clear" w:color="auto" w:fill="333399"/>
          </w:tcPr>
          <w:p w:rsidR="00C203BF" w:rsidRPr="00C203BF" w:rsidRDefault="00C203BF" w:rsidP="004256D8">
            <w:pPr>
              <w:pStyle w:val="TableParagraph"/>
              <w:spacing w:line="252" w:lineRule="exact"/>
              <w:ind w:left="1935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C203BF" w:rsidRPr="00C203BF" w:rsidTr="00A92B2B">
        <w:trPr>
          <w:trHeight w:hRule="exact" w:val="684"/>
        </w:trPr>
        <w:tc>
          <w:tcPr>
            <w:tcW w:w="9106" w:type="dxa"/>
          </w:tcPr>
          <w:p w:rsidR="00C203BF" w:rsidRPr="00F56021" w:rsidRDefault="00C203BF" w:rsidP="00F56021">
            <w:pPr>
              <w:pStyle w:val="TableParagrap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Zgodna z rynkiem wewnętrznym i wyłączona z obowiązku zgłoszenia, jeśli mają zastosowanie ogólne warunki zgodności oraz warunki tego artykułu (ust. 1)</w:t>
            </w:r>
          </w:p>
        </w:tc>
        <w:tc>
          <w:tcPr>
            <w:tcW w:w="4820" w:type="dxa"/>
          </w:tcPr>
          <w:p w:rsidR="00C203BF" w:rsidRPr="00F56021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392"/>
        </w:trPr>
        <w:tc>
          <w:tcPr>
            <w:tcW w:w="9106" w:type="dxa"/>
            <w:shd w:val="clear" w:color="auto" w:fill="DADADA"/>
          </w:tcPr>
          <w:p w:rsidR="00C203BF" w:rsidRPr="00C203BF" w:rsidRDefault="00C203BF" w:rsidP="004256D8">
            <w:pPr>
              <w:pStyle w:val="TableParagraph"/>
              <w:spacing w:line="252" w:lineRule="exact"/>
              <w:rPr>
                <w:rFonts w:ascii="Arial Narrow" w:hAnsi="Arial Narrow"/>
                <w:b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Cel pomocy i rodzaj działania</w:t>
            </w:r>
          </w:p>
        </w:tc>
        <w:tc>
          <w:tcPr>
            <w:tcW w:w="4820" w:type="dxa"/>
            <w:shd w:val="clear" w:color="auto" w:fill="DADADA"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C203BF" w:rsidRPr="00C203BF" w:rsidTr="00A92B2B">
        <w:trPr>
          <w:trHeight w:hRule="exact" w:val="4285"/>
        </w:trPr>
        <w:tc>
          <w:tcPr>
            <w:tcW w:w="9106" w:type="dxa"/>
          </w:tcPr>
          <w:p w:rsidR="00C203BF" w:rsidRPr="00C203BF" w:rsidRDefault="00C203BF" w:rsidP="00C203BF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line="266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Pomoc jest udzielana na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następujące cele i działania kulturalne </w:t>
            </w:r>
            <w:r w:rsidRPr="00C203BF">
              <w:rPr>
                <w:rFonts w:ascii="Arial Narrow" w:hAnsi="Arial Narrow"/>
                <w:lang w:val="pl-PL"/>
              </w:rPr>
              <w:t>(ust.</w:t>
            </w:r>
            <w:r w:rsidRPr="00C203BF">
              <w:rPr>
                <w:rFonts w:ascii="Arial Narrow" w:hAnsi="Arial Narrow"/>
                <w:spacing w:val="-3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2):</w:t>
            </w:r>
          </w:p>
          <w:p w:rsidR="00C203BF" w:rsidRPr="00C203BF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98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muzea, archiwa, biblioteki, ośrodki lub przestrzenie kulturalne i artystyczne, teatry, opery, sale koncertowe, inne organizacje wystawiające widowiska sceniczne, instytucje odpowiedzialne za dziedzictwo filmowe oraz inne podobne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infrastruktury,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organizacje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instytucje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kulturalne</w:t>
            </w:r>
            <w:r w:rsidRPr="00C203BF">
              <w:rPr>
                <w:rFonts w:ascii="Arial Narrow" w:hAnsi="Arial Narrow"/>
                <w:spacing w:val="-6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i</w:t>
            </w:r>
            <w:r w:rsidRPr="00C203BF">
              <w:rPr>
                <w:rFonts w:ascii="Arial Narrow" w:hAnsi="Arial Narrow"/>
                <w:spacing w:val="-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artystyczne;</w:t>
            </w:r>
          </w:p>
          <w:p w:rsidR="00C203BF" w:rsidRPr="00C203BF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materialne zasoby dziedzictwa kulturowego, w tym wszelkie formy ruchomego i nieruchomego dziedzictwa kulturowego, obiekty archeologiczne, pomniki, obiekty i budynki historyczne; dziedzictwo naturalne związane z dziedzictwem kulturowym lub jeśli zostały formalnie uznane za dziedzictwo kulturowe lub naturalne przez właściwe organy publiczne państwa członkowskiego;</w:t>
            </w:r>
          </w:p>
          <w:p w:rsidR="00C203BF" w:rsidRPr="00C203BF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niematerialne zasoby dziedzictwa kulturowego w dowolnej formie, w tym zwyczaje ludowe i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rękodzieło;</w:t>
            </w:r>
          </w:p>
          <w:p w:rsidR="009030C8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wydarzenia i spektakle kulturalne lub związane ze sztuką, festiwale, wystawy i inne podobne działania związane z</w:t>
            </w:r>
            <w:r w:rsidRPr="00C203BF">
              <w:rPr>
                <w:rFonts w:ascii="Arial Narrow" w:hAnsi="Arial Narrow"/>
                <w:spacing w:val="-2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kulturą;</w:t>
            </w:r>
          </w:p>
          <w:p w:rsidR="009030C8" w:rsidRPr="009030C8" w:rsidRDefault="00C203BF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4"/>
              </w:tabs>
              <w:ind w:right="100"/>
              <w:jc w:val="both"/>
              <w:rPr>
                <w:rFonts w:ascii="Arial Narrow" w:hAnsi="Arial Narrow"/>
                <w:lang w:val="pl-PL"/>
              </w:rPr>
            </w:pPr>
            <w:r w:rsidRPr="009030C8">
              <w:rPr>
                <w:rFonts w:ascii="Arial Narrow" w:hAnsi="Arial Narrow"/>
                <w:lang w:val="pl-PL"/>
              </w:rPr>
              <w:t xml:space="preserve">edukacja   kulturalna   i   artystyczna,   jak   również   promowanie   </w:t>
            </w:r>
            <w:r w:rsidRPr="009030C8">
              <w:rPr>
                <w:rFonts w:ascii="Arial Narrow" w:hAnsi="Arial Narrow"/>
                <w:spacing w:val="29"/>
                <w:lang w:val="pl-PL"/>
              </w:rPr>
              <w:t xml:space="preserve"> </w:t>
            </w:r>
            <w:r w:rsidRPr="009030C8">
              <w:rPr>
                <w:rFonts w:ascii="Arial Narrow" w:hAnsi="Arial Narrow"/>
                <w:lang w:val="pl-PL"/>
              </w:rPr>
              <w:t>lepszego</w:t>
            </w:r>
            <w:r w:rsidR="009030C8" w:rsidRPr="009030C8">
              <w:rPr>
                <w:rFonts w:ascii="Arial Narrow" w:hAnsi="Arial Narrow"/>
                <w:lang w:val="pl-PL"/>
              </w:rPr>
              <w:t xml:space="preserve"> zrozumienia znaczenia ochrony i propagowania różnorodnych form wyrazu kulturowego, za pośrednictwem programów edukacyjnych oraz programów zwiększających świadomość społeczeństwa, m.in. przy zastosowaniu nowych technologii;</w:t>
            </w:r>
          </w:p>
          <w:p w:rsidR="00C203BF" w:rsidRPr="00C203BF" w:rsidRDefault="009030C8" w:rsidP="009030C8">
            <w:pPr>
              <w:pStyle w:val="TableParagraph"/>
              <w:numPr>
                <w:ilvl w:val="1"/>
                <w:numId w:val="19"/>
              </w:numPr>
              <w:tabs>
                <w:tab w:val="left" w:pos="823"/>
                <w:tab w:val="left" w:pos="824"/>
              </w:tabs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tworzenie, redagowanie, produkcja, dystrybucja, digitalizacja i publikacja utworów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muzycznych i literackich, w tym przekładów</w:t>
            </w:r>
            <w:r>
              <w:rPr>
                <w:rFonts w:ascii="Arial Narrow" w:hAnsi="Arial Narrow"/>
                <w:lang w:val="pl-PL"/>
              </w:rPr>
              <w:t>.</w:t>
            </w:r>
          </w:p>
        </w:tc>
        <w:tc>
          <w:tcPr>
            <w:tcW w:w="4820" w:type="dxa"/>
          </w:tcPr>
          <w:p w:rsidR="00C203BF" w:rsidRPr="00C203BF" w:rsidRDefault="00C203BF" w:rsidP="004256D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9030C8" w:rsidRPr="00C203BF" w:rsidTr="00A92B2B">
        <w:trPr>
          <w:trHeight w:hRule="exact" w:val="289"/>
        </w:trPr>
        <w:tc>
          <w:tcPr>
            <w:tcW w:w="9106" w:type="dxa"/>
            <w:shd w:val="clear" w:color="auto" w:fill="D9D9D9" w:themeFill="background1" w:themeFillShade="D9"/>
          </w:tcPr>
          <w:p w:rsidR="009030C8" w:rsidRPr="00C203BF" w:rsidRDefault="009030C8" w:rsidP="009030C8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Forma pomocy:</w:t>
            </w:r>
          </w:p>
        </w:tc>
        <w:tc>
          <w:tcPr>
            <w:tcW w:w="4820" w:type="dxa"/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30C8" w:rsidRPr="00C203BF" w:rsidTr="00A92B2B">
        <w:trPr>
          <w:trHeight w:hRule="exact" w:val="1119"/>
        </w:trPr>
        <w:tc>
          <w:tcPr>
            <w:tcW w:w="9106" w:type="dxa"/>
          </w:tcPr>
          <w:p w:rsidR="009030C8" w:rsidRPr="00C203BF" w:rsidRDefault="009030C8" w:rsidP="009030C8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4"/>
              </w:tabs>
              <w:spacing w:line="268" w:lineRule="exact"/>
              <w:ind w:right="0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Pomoc może przybrać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formę </w:t>
            </w:r>
            <w:r w:rsidRPr="00C203BF">
              <w:rPr>
                <w:rFonts w:ascii="Arial Narrow" w:hAnsi="Arial Narrow"/>
                <w:lang w:val="pl-PL"/>
              </w:rPr>
              <w:t>(ust.</w:t>
            </w:r>
            <w:r w:rsidRPr="00C203BF">
              <w:rPr>
                <w:rFonts w:ascii="Arial Narrow" w:hAnsi="Arial Narrow"/>
                <w:spacing w:val="-1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3):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  <w:tab w:val="left" w:pos="824"/>
              </w:tabs>
              <w:ind w:right="1005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pomocy inwestycyjnej, w tym pomocy na budowę lub modernizację infrastruktury</w:t>
            </w:r>
            <w:r w:rsidRPr="00C203BF">
              <w:rPr>
                <w:rFonts w:ascii="Arial Narrow" w:hAnsi="Arial Narrow"/>
                <w:spacing w:val="-11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kulturalnej;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4"/>
              </w:numPr>
              <w:tabs>
                <w:tab w:val="left" w:pos="824"/>
              </w:tabs>
              <w:ind w:right="0"/>
              <w:rPr>
                <w:rFonts w:ascii="Arial Narrow" w:hAnsi="Arial Narrow"/>
              </w:rPr>
            </w:pPr>
            <w:r w:rsidRPr="00C203BF">
              <w:rPr>
                <w:rFonts w:ascii="Arial Narrow" w:hAnsi="Arial Narrow"/>
              </w:rPr>
              <w:t>pomocy</w:t>
            </w:r>
            <w:r w:rsidRPr="00C203BF">
              <w:rPr>
                <w:rFonts w:ascii="Arial Narrow" w:hAnsi="Arial Narrow"/>
                <w:spacing w:val="-11"/>
              </w:rPr>
              <w:t xml:space="preserve"> </w:t>
            </w:r>
            <w:r w:rsidRPr="00C203BF">
              <w:rPr>
                <w:rFonts w:ascii="Arial Narrow" w:hAnsi="Arial Narrow"/>
              </w:rPr>
              <w:t>operacyjnej.</w:t>
            </w:r>
          </w:p>
        </w:tc>
        <w:tc>
          <w:tcPr>
            <w:tcW w:w="4820" w:type="dxa"/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030C8" w:rsidRDefault="009030C8" w:rsidP="00C203BF">
      <w:pPr>
        <w:rPr>
          <w:rFonts w:ascii="Arial Narrow" w:hAnsi="Arial Narrow"/>
          <w:sz w:val="22"/>
          <w:szCs w:val="22"/>
        </w:rPr>
      </w:pPr>
    </w:p>
    <w:p w:rsidR="009030C8" w:rsidRDefault="009030C8" w:rsidP="009030C8">
      <w:pPr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139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  <w:gridCol w:w="4536"/>
      </w:tblGrid>
      <w:tr w:rsidR="009030C8" w:rsidRPr="00C203BF" w:rsidTr="00A92B2B">
        <w:trPr>
          <w:trHeight w:hRule="exact" w:val="258"/>
        </w:trPr>
        <w:tc>
          <w:tcPr>
            <w:tcW w:w="9381" w:type="dxa"/>
            <w:shd w:val="clear" w:color="auto" w:fill="333399"/>
          </w:tcPr>
          <w:p w:rsidR="009030C8" w:rsidRPr="00C203BF" w:rsidRDefault="009030C8" w:rsidP="004256D8">
            <w:pPr>
              <w:pStyle w:val="TableParagraph"/>
              <w:spacing w:line="252" w:lineRule="exact"/>
              <w:ind w:left="2191"/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  <w:shd w:val="clear" w:color="auto" w:fill="333399"/>
          </w:tcPr>
          <w:p w:rsidR="009030C8" w:rsidRPr="00C203BF" w:rsidRDefault="009030C8" w:rsidP="004256D8">
            <w:pPr>
              <w:pStyle w:val="TableParagraph"/>
              <w:spacing w:line="252" w:lineRule="exact"/>
              <w:ind w:left="1749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  <w:color w:val="FFFFFF"/>
              </w:rPr>
              <w:t>KONTROLA ZGODNOŚCI (OK?)</w:t>
            </w:r>
          </w:p>
        </w:tc>
      </w:tr>
      <w:tr w:rsidR="009030C8" w:rsidRPr="00C203BF" w:rsidTr="00A92B2B">
        <w:trPr>
          <w:trHeight w:hRule="exact" w:val="268"/>
        </w:trPr>
        <w:tc>
          <w:tcPr>
            <w:tcW w:w="9381" w:type="dxa"/>
            <w:tcBorders>
              <w:bottom w:val="single" w:sz="4" w:space="0" w:color="auto"/>
            </w:tcBorders>
            <w:shd w:val="clear" w:color="auto" w:fill="DADADA"/>
          </w:tcPr>
          <w:p w:rsidR="009030C8" w:rsidRPr="00C203BF" w:rsidRDefault="009030C8" w:rsidP="009030C8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 w:rsidRPr="00C203BF">
              <w:rPr>
                <w:rFonts w:ascii="Arial Narrow" w:hAnsi="Arial Narrow"/>
                <w:b/>
              </w:rPr>
              <w:t>Koszty kwalifikowalne</w:t>
            </w:r>
          </w:p>
        </w:tc>
        <w:tc>
          <w:tcPr>
            <w:tcW w:w="4536" w:type="dxa"/>
            <w:vMerge w:val="restart"/>
            <w:tcBorders>
              <w:left w:val="single" w:sz="41" w:space="0" w:color="DADADA"/>
            </w:tcBorders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  <w:tr w:rsidR="009030C8" w:rsidRPr="00C203BF" w:rsidTr="00A92B2B">
        <w:trPr>
          <w:trHeight w:hRule="exact" w:val="8858"/>
        </w:trPr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C8" w:rsidRPr="00C203BF" w:rsidRDefault="009030C8" w:rsidP="009030C8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4"/>
              </w:tabs>
              <w:ind w:right="187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W przypadku pomocy inwestycyjnej za koszty kwalifikowalne </w:t>
            </w:r>
            <w:r w:rsidRPr="00C203BF">
              <w:rPr>
                <w:rFonts w:ascii="Arial Narrow" w:hAnsi="Arial Narrow"/>
                <w:lang w:val="pl-PL"/>
              </w:rPr>
              <w:t>uznaje się koszty inwestycji w rzeczowe aktywa trwałe i wartości niematerialne i prawne, w tym (ust.</w:t>
            </w:r>
            <w:r w:rsidRPr="00C203BF">
              <w:rPr>
                <w:rFonts w:ascii="Arial Narrow" w:hAnsi="Arial Narrow"/>
                <w:spacing w:val="-4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4):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100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budowy, modernizacji, nabycia, konserwacji lub poprawy infrastruktury, jeżeli w skali roku przynajmniej 80 % czasu lub przestrzeni tej infrastruktury jest wykorzystywane do celów związanych z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kulturą;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101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nabycia, w tym leasingu, przekazania własności lub fizycznej relokacji dziedzictwa</w:t>
            </w:r>
            <w:r w:rsidRPr="00C203BF">
              <w:rPr>
                <w:rFonts w:ascii="Arial Narrow" w:hAnsi="Arial Narrow"/>
                <w:spacing w:val="-1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kulturowego;</w:t>
            </w:r>
          </w:p>
          <w:p w:rsidR="009030C8" w:rsidRPr="00C203BF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99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zabezpieczenia, ochrony, renowacji i odnowy materialnych i niematerialnych zasobów dziedzictwa kulturowego, w tym dodatkowe koszty przechowywania w odpowiednich warunkach, specjalnych narzędzi, materiałów oraz koszty dokumentacji, badań, digitalizacji i</w:t>
            </w:r>
            <w:r w:rsidRPr="00C203BF">
              <w:rPr>
                <w:rFonts w:ascii="Arial Narrow" w:hAnsi="Arial Narrow"/>
                <w:spacing w:val="-33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publikacji;</w:t>
            </w:r>
          </w:p>
          <w:p w:rsidR="009030C8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99" w:hanging="425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>koszty poprawy dostępu do dziedzictwa kulturowego, w tym koszty digitalizacji i innych nowych technologii, koszty poprawy dostępu dla osób o specjalnych potrzebach (w szczególności rampy i windy dla niepełnosprawnych, objaśnienia w języku Braille'a i eksponaty dotykowe w muzeach) oraz promowania różnorodności kulturowej w odniesieniu do prezentacji, programów i</w:t>
            </w:r>
            <w:r w:rsidRPr="00C203BF">
              <w:rPr>
                <w:rFonts w:ascii="Arial Narrow" w:hAnsi="Arial Narrow"/>
                <w:spacing w:val="-20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odwiedzających;</w:t>
            </w:r>
          </w:p>
          <w:p w:rsidR="009030C8" w:rsidRPr="009030C8" w:rsidRDefault="009030C8" w:rsidP="009030C8">
            <w:pPr>
              <w:pStyle w:val="TableParagraph"/>
              <w:numPr>
                <w:ilvl w:val="1"/>
                <w:numId w:val="3"/>
              </w:numPr>
              <w:tabs>
                <w:tab w:val="left" w:pos="592"/>
              </w:tabs>
              <w:ind w:left="592" w:right="99" w:hanging="425"/>
              <w:jc w:val="both"/>
              <w:rPr>
                <w:rFonts w:ascii="Arial Narrow" w:hAnsi="Arial Narrow"/>
                <w:lang w:val="pl-PL"/>
              </w:rPr>
            </w:pPr>
            <w:r w:rsidRPr="009030C8">
              <w:rPr>
                <w:rFonts w:ascii="Arial Narrow" w:hAnsi="Arial Narrow"/>
                <w:lang w:val="pl-PL"/>
              </w:rPr>
              <w:t>koszty projektów i działań kulturalnych, programów współpracy i wymiany oraz dotacje, w tym koszty procedur wyboru, promocji oraz koszty ponoszone bezpośrednio w wyniku projektu;</w:t>
            </w:r>
          </w:p>
          <w:p w:rsidR="009030C8" w:rsidRPr="00A92B2B" w:rsidRDefault="009030C8" w:rsidP="009030C8">
            <w:pPr>
              <w:pStyle w:val="Akapitzlist"/>
              <w:numPr>
                <w:ilvl w:val="0"/>
                <w:numId w:val="6"/>
              </w:numPr>
              <w:tabs>
                <w:tab w:val="left" w:pos="592"/>
                <w:tab w:val="left" w:pos="576"/>
              </w:tabs>
              <w:ind w:left="592" w:right="142" w:hanging="425"/>
              <w:contextualSpacing w:val="0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A92B2B">
              <w:rPr>
                <w:rFonts w:ascii="Arial Narrow" w:hAnsi="Arial Narrow"/>
                <w:b/>
                <w:sz w:val="22"/>
                <w:szCs w:val="22"/>
                <w:lang w:val="pl-PL"/>
              </w:rPr>
              <w:t xml:space="preserve">W przypadku pomocy operacyjnej za koszty kwalifikowalne </w:t>
            </w:r>
            <w:r w:rsidRPr="00A92B2B">
              <w:rPr>
                <w:rFonts w:ascii="Arial Narrow" w:hAnsi="Arial Narrow"/>
                <w:sz w:val="22"/>
                <w:szCs w:val="22"/>
                <w:lang w:val="pl-PL"/>
              </w:rPr>
              <w:t>uznaje się (ust. 5):</w:t>
            </w:r>
          </w:p>
          <w:p w:rsidR="009030C8" w:rsidRPr="00A92B2B" w:rsidRDefault="009030C8" w:rsidP="009030C8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A92B2B">
              <w:rPr>
                <w:rFonts w:ascii="Arial Narrow" w:hAnsi="Arial Narrow"/>
                <w:sz w:val="22"/>
                <w:szCs w:val="22"/>
                <w:lang w:val="pl-PL"/>
              </w:rPr>
              <w:t>koszty instytucji kulturalnej lub obiektu dziedzictwa kulturowego związane z ciągłymi lub okresowymi działaniami, takimi jak wystawy, spektakle i wydarzenia oraz podobne działania kulturalne mające miejsce w ramach podstawowej działalności</w:t>
            </w:r>
            <w:r w:rsidRPr="00A92B2B">
              <w:rPr>
                <w:rFonts w:ascii="Arial Narrow" w:hAnsi="Arial Narrow"/>
                <w:spacing w:val="-21"/>
                <w:sz w:val="22"/>
                <w:szCs w:val="22"/>
                <w:lang w:val="pl-PL"/>
              </w:rPr>
              <w:t xml:space="preserve"> </w:t>
            </w:r>
            <w:r w:rsidRPr="00A92B2B">
              <w:rPr>
                <w:rFonts w:ascii="Arial Narrow" w:hAnsi="Arial Narrow"/>
                <w:sz w:val="22"/>
                <w:szCs w:val="22"/>
                <w:lang w:val="pl-PL"/>
              </w:rPr>
              <w:t>gospodarczej;</w:t>
            </w:r>
          </w:p>
          <w:p w:rsidR="009030C8" w:rsidRDefault="009030C8" w:rsidP="009030C8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koszty edukacji kulturalnej i artystycznej, jak również koszty promowania lepszego zrozumienia znaczenia ochrony i propagowania różnorodnych form wyrazu kulturowego za pośrednictwem programów edukacyjnych oraz programów zwiększających świadomość społeczeństwa, m.in. przy zastosowaniu nowych</w:t>
            </w:r>
            <w:r w:rsidRPr="009030C8">
              <w:rPr>
                <w:rFonts w:ascii="Arial Narrow" w:hAnsi="Arial Narrow"/>
                <w:spacing w:val="-18"/>
                <w:sz w:val="22"/>
                <w:szCs w:val="22"/>
                <w:lang w:val="pl-PL"/>
              </w:rPr>
              <w:t xml:space="preserve"> </w:t>
            </w: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technologii;</w:t>
            </w:r>
          </w:p>
          <w:p w:rsidR="009030C8" w:rsidRDefault="009030C8" w:rsidP="009030C8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koszty poprawy dostępu społeczeństwa do instytucji kultury lub obiektów dziedzictwa kulturowego i działań, w tym koszty digitalizacji i stosowania nowych technologii, a także koszty poprawy dostępności dla osób niepełnosprawnych;</w:t>
            </w:r>
          </w:p>
          <w:p w:rsidR="000C4B12" w:rsidRDefault="009030C8" w:rsidP="000C4B12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koszty operacyjne bezpośrednio związane z projektem lub działaniem kulturalnym, np. wynajem lub dzierżawa nieruchomości lub obiektów kulturalnych, koszty podróży i materiałów bezpośrednio związanych z projektem lub działaniem kulturalnym, koszty struktur architektonicznych na potrzeby wystaw i dekoracji scenicznych, wypożyczenie, dzierżawa i amortyzacja narzędzi, oprogramowania i sprzętu, koszty praw dostępu do utworów chronionych prawem autorskim oraz innych powiązanych treści chronionych prawem własności intelektualnej, koszty promocji oraz koszty ponoszone bezpośrednio w wyniku projektu lub działalności; koszty amortyzacji i koszty finansowania są kwalifikowalne tylko wówczas, gdy nie zostały objęte pomocą</w:t>
            </w:r>
            <w:r w:rsidRPr="009030C8">
              <w:rPr>
                <w:rFonts w:ascii="Arial Narrow" w:hAnsi="Arial Narrow"/>
                <w:spacing w:val="-18"/>
                <w:sz w:val="22"/>
                <w:szCs w:val="22"/>
                <w:lang w:val="pl-PL"/>
              </w:rPr>
              <w:t xml:space="preserve"> </w:t>
            </w:r>
            <w:r w:rsidRPr="009030C8">
              <w:rPr>
                <w:rFonts w:ascii="Arial Narrow" w:hAnsi="Arial Narrow"/>
                <w:sz w:val="22"/>
                <w:szCs w:val="22"/>
                <w:lang w:val="pl-PL"/>
              </w:rPr>
              <w:t>inwestycyjną;</w:t>
            </w:r>
          </w:p>
          <w:p w:rsidR="000C4B12" w:rsidRDefault="009030C8" w:rsidP="000C4B12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0C4B12">
              <w:rPr>
                <w:rFonts w:ascii="Arial Narrow" w:hAnsi="Arial Narrow"/>
                <w:sz w:val="22"/>
                <w:szCs w:val="22"/>
                <w:lang w:val="pl-PL"/>
              </w:rPr>
              <w:t>koszty personelu pracującego na rzecz instytucji kulturalnej lub obiektu dziedzictwa kulturowego lub</w:t>
            </w:r>
            <w:r w:rsidRPr="000C4B12">
              <w:rPr>
                <w:rFonts w:ascii="Arial Narrow" w:hAnsi="Arial Narrow"/>
                <w:spacing w:val="-19"/>
                <w:sz w:val="22"/>
                <w:szCs w:val="22"/>
                <w:lang w:val="pl-PL"/>
              </w:rPr>
              <w:t xml:space="preserve"> </w:t>
            </w:r>
            <w:r w:rsidRPr="000C4B12">
              <w:rPr>
                <w:rFonts w:ascii="Arial Narrow" w:hAnsi="Arial Narrow"/>
                <w:sz w:val="22"/>
                <w:szCs w:val="22"/>
                <w:lang w:val="pl-PL"/>
              </w:rPr>
              <w:t>projektu;</w:t>
            </w:r>
          </w:p>
          <w:p w:rsidR="009030C8" w:rsidRPr="00C203BF" w:rsidRDefault="009030C8" w:rsidP="000C4B12">
            <w:pPr>
              <w:pStyle w:val="Akapitzlist"/>
              <w:numPr>
                <w:ilvl w:val="0"/>
                <w:numId w:val="2"/>
              </w:numPr>
              <w:tabs>
                <w:tab w:val="left" w:pos="592"/>
                <w:tab w:val="left" w:pos="936"/>
              </w:tabs>
              <w:ind w:left="592" w:right="142" w:hanging="425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0C4B12">
              <w:rPr>
                <w:rFonts w:ascii="Arial Narrow" w:hAnsi="Arial Narrow"/>
                <w:sz w:val="22"/>
                <w:szCs w:val="22"/>
                <w:lang w:val="pl-PL"/>
              </w:rPr>
              <w:t>koszty usług doradczych i wspierających świadczonych przez konsultantów zewnętrznych i usługodawców, ponoszone bezpośrednio w wyniku projektu</w:t>
            </w:r>
            <w:r w:rsidR="000C4B12">
              <w:rPr>
                <w:rFonts w:ascii="Arial Narrow" w:hAnsi="Arial Narrow"/>
                <w:sz w:val="22"/>
                <w:szCs w:val="22"/>
                <w:lang w:val="pl-PL"/>
              </w:rPr>
              <w:t xml:space="preserve"> </w:t>
            </w:r>
            <w:r w:rsidR="000C4B12" w:rsidRPr="000C4B12">
              <w:rPr>
                <w:rFonts w:ascii="Arial Narrow" w:hAnsi="Arial Narrow"/>
                <w:sz w:val="22"/>
                <w:szCs w:val="22"/>
                <w:lang w:val="pl-PL"/>
              </w:rPr>
              <w:t>lub działalności.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9030C8" w:rsidRPr="00C203BF" w:rsidRDefault="009030C8" w:rsidP="009030C8">
            <w:pPr>
              <w:rPr>
                <w:rFonts w:ascii="Arial Narrow" w:hAnsi="Arial Narrow"/>
                <w:sz w:val="22"/>
                <w:szCs w:val="22"/>
                <w:lang w:val="pl-PL"/>
              </w:rPr>
            </w:pPr>
          </w:p>
        </w:tc>
      </w:tr>
    </w:tbl>
    <w:tbl>
      <w:tblPr>
        <w:tblW w:w="1391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1"/>
        <w:gridCol w:w="4536"/>
      </w:tblGrid>
      <w:tr w:rsidR="000C4B12" w:rsidRPr="000C4B12" w:rsidTr="00A92B2B">
        <w:trPr>
          <w:trHeight w:hRule="exact" w:val="268"/>
        </w:trPr>
        <w:tc>
          <w:tcPr>
            <w:tcW w:w="9381" w:type="dxa"/>
            <w:tcBorders>
              <w:bottom w:val="single" w:sz="4" w:space="0" w:color="auto"/>
            </w:tcBorders>
            <w:shd w:val="clear" w:color="auto" w:fill="DADADA"/>
          </w:tcPr>
          <w:p w:rsidR="000C4B12" w:rsidRPr="00C203BF" w:rsidRDefault="00A92B2B" w:rsidP="000C4B12">
            <w:pPr>
              <w:pStyle w:val="TableParagraph"/>
              <w:spacing w:line="252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  <w:r w:rsidR="000C4B12" w:rsidRPr="00C203BF">
              <w:rPr>
                <w:rFonts w:ascii="Arial Narrow" w:hAnsi="Arial Narrow"/>
                <w:b/>
              </w:rPr>
              <w:t>aksymalne progi pomocy</w:t>
            </w:r>
          </w:p>
        </w:tc>
        <w:tc>
          <w:tcPr>
            <w:tcW w:w="4536" w:type="dxa"/>
            <w:vMerge w:val="restart"/>
            <w:tcBorders>
              <w:left w:val="single" w:sz="41" w:space="0" w:color="DADADA"/>
            </w:tcBorders>
          </w:tcPr>
          <w:p w:rsidR="000C4B12" w:rsidRPr="000C4B12" w:rsidRDefault="000C4B12" w:rsidP="000C4B1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4B12" w:rsidRPr="000C4B12" w:rsidTr="00A92B2B">
        <w:trPr>
          <w:trHeight w:hRule="exact" w:val="4750"/>
        </w:trPr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lastRenderedPageBreak/>
              <w:t xml:space="preserve">W przypadku pomocy inwestycyjnej kwota pomocy nie przekracza </w:t>
            </w:r>
            <w:r w:rsidRPr="00C203BF">
              <w:rPr>
                <w:rFonts w:ascii="Arial Narrow" w:hAnsi="Arial Narrow"/>
                <w:lang w:val="pl-PL"/>
              </w:rPr>
              <w:t>różnicy między kosztami kwalifikowalnymi a zyskiem operacyjnym z inwestycji. Zysk operacyjny odlicza się od kosztów kwalifikowalnych ex ante, na podstawie rozsądnych prognoz, albo poprzez mechanizm wycofania. Operator infrastruktury ma prawo zatrzymać rozsądny zysk przez odnośny okres (ust.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6).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left="462" w:right="98" w:hanging="35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 xml:space="preserve">W przypadku pomocy operacyjnej kwota pomocy nie przekracza </w:t>
            </w:r>
            <w:r w:rsidRPr="00C203BF">
              <w:rPr>
                <w:rFonts w:ascii="Arial Narrow" w:hAnsi="Arial Narrow"/>
                <w:lang w:val="pl-PL"/>
              </w:rPr>
              <w:t xml:space="preserve">poziomu, który jest konieczny, by pokryć straty operacyjne i rozsądny zysk w odnośnym okresie. Powyższe należy zapewnić na zasadzie </w:t>
            </w:r>
            <w:r w:rsidRPr="00C203BF">
              <w:rPr>
                <w:rFonts w:ascii="Arial Narrow" w:hAnsi="Arial Narrow"/>
                <w:i/>
                <w:lang w:val="pl-PL"/>
              </w:rPr>
              <w:t>ex ante</w:t>
            </w:r>
            <w:r w:rsidRPr="00C203BF">
              <w:rPr>
                <w:rFonts w:ascii="Arial Narrow" w:hAnsi="Arial Narrow"/>
                <w:lang w:val="pl-PL"/>
              </w:rPr>
              <w:t>, na podstawie rozsądnych prognoz, lub przy zastosowaniu mechanizmu wycofania (ust.</w:t>
            </w:r>
            <w:r w:rsidRPr="00C203BF">
              <w:rPr>
                <w:rFonts w:ascii="Arial Narrow" w:hAnsi="Arial Narrow"/>
                <w:spacing w:val="-32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7).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462" w:right="102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W przypadku pomocy nieprzekraczającej 1 mln EUR</w:t>
            </w:r>
            <w:r w:rsidRPr="00C203BF">
              <w:rPr>
                <w:rFonts w:ascii="Arial Narrow" w:hAnsi="Arial Narrow"/>
                <w:lang w:val="pl-PL"/>
              </w:rPr>
              <w:t>, maksymalną kwotę pomocy można ustalić, alternatywnie wobec metody, o której mowa w ust. 6 i 7, na poziomie 80 % kosztów kwalifikowalnych (ust.</w:t>
            </w:r>
            <w:r w:rsidRPr="00C203BF">
              <w:rPr>
                <w:rFonts w:ascii="Arial Narrow" w:hAnsi="Arial Narrow"/>
                <w:spacing w:val="-25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8).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ind w:left="462" w:right="100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lang w:val="pl-PL"/>
              </w:rPr>
              <w:t xml:space="preserve">W przypadku </w:t>
            </w:r>
            <w:r w:rsidRPr="00C203BF">
              <w:rPr>
                <w:rFonts w:ascii="Arial Narrow" w:hAnsi="Arial Narrow"/>
                <w:b/>
                <w:lang w:val="pl-PL"/>
              </w:rPr>
              <w:t xml:space="preserve">publikowania muzyki i literatury </w:t>
            </w:r>
            <w:r w:rsidRPr="00C203BF">
              <w:rPr>
                <w:rFonts w:ascii="Arial Narrow" w:hAnsi="Arial Narrow"/>
                <w:lang w:val="pl-PL"/>
              </w:rPr>
              <w:t xml:space="preserve">zgodnie z definicją w ust. 2 lit. f), maksymalna kwota pomocy nie przekracza ani różnicy między kosztami kwalifikowalnymi i zdyskontowanymi przychodami projektu ani 70 % kosztów kwalifikowalnych. Przychody odlicza się od kosztów kwalifikowalnych na zasadzie </w:t>
            </w:r>
            <w:r w:rsidRPr="00C203BF">
              <w:rPr>
                <w:rFonts w:ascii="Arial Narrow" w:hAnsi="Arial Narrow"/>
                <w:i/>
                <w:lang w:val="pl-PL"/>
              </w:rPr>
              <w:t xml:space="preserve">ex ante </w:t>
            </w:r>
            <w:r w:rsidRPr="00C203BF">
              <w:rPr>
                <w:rFonts w:ascii="Arial Narrow" w:hAnsi="Arial Narrow"/>
                <w:lang w:val="pl-PL"/>
              </w:rPr>
              <w:t>albo przy użyciu mechanizmu wycofania. Kosztami kwalifikowalnymi są koszty publikacji muzyki i literatury, w tym wynagrodzenie autorów (koszty praw autorskich), tłumaczy, wydawców, inne koszty redakcyjne (korekta tekstu, rewizja), koszty związane z opracowaniem układu tekstu i przygotowaniem do druku</w:t>
            </w:r>
            <w:r w:rsidR="002E7BFC">
              <w:rPr>
                <w:rFonts w:ascii="Arial Narrow" w:hAnsi="Arial Narrow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spacing w:val="-39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oraz koszty drukowania lub publikacji on-line (ust. 9).</w:t>
            </w:r>
          </w:p>
          <w:p w:rsidR="000C4B12" w:rsidRPr="00C203BF" w:rsidRDefault="000C4B12" w:rsidP="000C4B12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99"/>
              <w:jc w:val="both"/>
              <w:rPr>
                <w:rFonts w:ascii="Arial Narrow" w:hAnsi="Arial Narrow"/>
                <w:lang w:val="pl-PL"/>
              </w:rPr>
            </w:pPr>
            <w:r w:rsidRPr="00C203BF">
              <w:rPr>
                <w:rFonts w:ascii="Arial Narrow" w:hAnsi="Arial Narrow"/>
                <w:b/>
                <w:lang w:val="pl-PL"/>
              </w:rPr>
              <w:t>Pomoc dla prasy i magazynów</w:t>
            </w:r>
            <w:r w:rsidRPr="00C203BF">
              <w:rPr>
                <w:rFonts w:ascii="Arial Narrow" w:hAnsi="Arial Narrow"/>
                <w:lang w:val="pl-PL"/>
              </w:rPr>
              <w:t>, niezależnie od tego, czy są one publikowane w wersji papierowej czy elektronicznej, nie kwalifikuje się do objęcia zakresem tego artykułu (ust.</w:t>
            </w:r>
            <w:r w:rsidRPr="00C203BF">
              <w:rPr>
                <w:rFonts w:ascii="Arial Narrow" w:hAnsi="Arial Narrow"/>
                <w:spacing w:val="-8"/>
                <w:lang w:val="pl-PL"/>
              </w:rPr>
              <w:t xml:space="preserve"> </w:t>
            </w:r>
            <w:r w:rsidRPr="00C203BF">
              <w:rPr>
                <w:rFonts w:ascii="Arial Narrow" w:hAnsi="Arial Narrow"/>
                <w:lang w:val="pl-PL"/>
              </w:rPr>
              <w:t>10).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0C4B12" w:rsidRPr="000C4B12" w:rsidRDefault="000C4B12" w:rsidP="000C4B1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C4B12" w:rsidRDefault="000C4B12" w:rsidP="00C203BF">
      <w:pPr>
        <w:jc w:val="both"/>
        <w:rPr>
          <w:rFonts w:ascii="Arial Narrow" w:hAnsi="Arial Narrow"/>
          <w:sz w:val="22"/>
          <w:szCs w:val="22"/>
        </w:rPr>
      </w:pPr>
    </w:p>
    <w:p w:rsidR="000C4B12" w:rsidRP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0C4B12" w:rsidRP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0C4B12" w:rsidRDefault="000C4B12" w:rsidP="000C4B12">
      <w:pPr>
        <w:rPr>
          <w:rFonts w:ascii="Arial Narrow" w:hAnsi="Arial Narrow"/>
          <w:sz w:val="22"/>
          <w:szCs w:val="22"/>
        </w:rPr>
      </w:pPr>
    </w:p>
    <w:p w:rsidR="00C203BF" w:rsidRPr="00C203BF" w:rsidRDefault="000C4B12" w:rsidP="000C4B12">
      <w:pPr>
        <w:tabs>
          <w:tab w:val="left" w:pos="63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sectPr w:rsidR="00C203BF" w:rsidRPr="00C203BF" w:rsidSect="00C203BF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8A" w:rsidRDefault="006D7D8A">
      <w:r>
        <w:separator/>
      </w:r>
    </w:p>
  </w:endnote>
  <w:endnote w:type="continuationSeparator" w:id="0">
    <w:p w:rsidR="006D7D8A" w:rsidRDefault="006D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717806"/>
      <w:docPartObj>
        <w:docPartGallery w:val="Page Numbers (Bottom of Page)"/>
        <w:docPartUnique/>
      </w:docPartObj>
    </w:sdtPr>
    <w:sdtEndPr/>
    <w:sdtContent>
      <w:p w:rsidR="007848C4" w:rsidRDefault="00BD6E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704">
          <w:rPr>
            <w:noProof/>
          </w:rPr>
          <w:t>7</w:t>
        </w:r>
        <w:r>
          <w:fldChar w:fldCharType="end"/>
        </w:r>
      </w:p>
    </w:sdtContent>
  </w:sdt>
  <w:p w:rsidR="007848C4" w:rsidRDefault="006D7D8A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8A" w:rsidRDefault="006D7D8A">
      <w:r>
        <w:separator/>
      </w:r>
    </w:p>
  </w:footnote>
  <w:footnote w:type="continuationSeparator" w:id="0">
    <w:p w:rsidR="006D7D8A" w:rsidRDefault="006D7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8C4" w:rsidRDefault="006D7D8A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0622"/>
    <w:multiLevelType w:val="hybridMultilevel"/>
    <w:tmpl w:val="EB1AF394"/>
    <w:lvl w:ilvl="0" w:tplc="2DC4220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E40C74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2C2B556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70CD29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16DC3B5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E78449E2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B4C47C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52EEF2D4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D63E6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" w15:restartNumberingAfterBreak="0">
    <w:nsid w:val="11A4770E"/>
    <w:multiLevelType w:val="hybridMultilevel"/>
    <w:tmpl w:val="5052B31C"/>
    <w:lvl w:ilvl="0" w:tplc="E1AAE020">
      <w:start w:val="1"/>
      <w:numFmt w:val="lowerLetter"/>
      <w:lvlText w:val="%1."/>
      <w:lvlJc w:val="left"/>
      <w:pPr>
        <w:ind w:left="978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F14A2A70">
      <w:start w:val="1"/>
      <w:numFmt w:val="bullet"/>
      <w:lvlText w:val="•"/>
      <w:lvlJc w:val="left"/>
      <w:pPr>
        <w:ind w:left="2366" w:hanging="393"/>
      </w:pPr>
      <w:rPr>
        <w:rFonts w:hint="default"/>
      </w:rPr>
    </w:lvl>
    <w:lvl w:ilvl="2" w:tplc="608072A0">
      <w:start w:val="1"/>
      <w:numFmt w:val="bullet"/>
      <w:lvlText w:val="•"/>
      <w:lvlJc w:val="left"/>
      <w:pPr>
        <w:ind w:left="3752" w:hanging="393"/>
      </w:pPr>
      <w:rPr>
        <w:rFonts w:hint="default"/>
      </w:rPr>
    </w:lvl>
    <w:lvl w:ilvl="3" w:tplc="FB129BA6">
      <w:start w:val="1"/>
      <w:numFmt w:val="bullet"/>
      <w:lvlText w:val="•"/>
      <w:lvlJc w:val="left"/>
      <w:pPr>
        <w:ind w:left="5138" w:hanging="393"/>
      </w:pPr>
      <w:rPr>
        <w:rFonts w:hint="default"/>
      </w:rPr>
    </w:lvl>
    <w:lvl w:ilvl="4" w:tplc="D50CA368">
      <w:start w:val="1"/>
      <w:numFmt w:val="bullet"/>
      <w:lvlText w:val="•"/>
      <w:lvlJc w:val="left"/>
      <w:pPr>
        <w:ind w:left="6524" w:hanging="393"/>
      </w:pPr>
      <w:rPr>
        <w:rFonts w:hint="default"/>
      </w:rPr>
    </w:lvl>
    <w:lvl w:ilvl="5" w:tplc="38AEDB4C">
      <w:start w:val="1"/>
      <w:numFmt w:val="bullet"/>
      <w:lvlText w:val="•"/>
      <w:lvlJc w:val="left"/>
      <w:pPr>
        <w:ind w:left="7910" w:hanging="393"/>
      </w:pPr>
      <w:rPr>
        <w:rFonts w:hint="default"/>
      </w:rPr>
    </w:lvl>
    <w:lvl w:ilvl="6" w:tplc="B6FC86E2">
      <w:start w:val="1"/>
      <w:numFmt w:val="bullet"/>
      <w:lvlText w:val="•"/>
      <w:lvlJc w:val="left"/>
      <w:pPr>
        <w:ind w:left="9296" w:hanging="393"/>
      </w:pPr>
      <w:rPr>
        <w:rFonts w:hint="default"/>
      </w:rPr>
    </w:lvl>
    <w:lvl w:ilvl="7" w:tplc="360E0314">
      <w:start w:val="1"/>
      <w:numFmt w:val="bullet"/>
      <w:lvlText w:val="•"/>
      <w:lvlJc w:val="left"/>
      <w:pPr>
        <w:ind w:left="10682" w:hanging="393"/>
      </w:pPr>
      <w:rPr>
        <w:rFonts w:hint="default"/>
      </w:rPr>
    </w:lvl>
    <w:lvl w:ilvl="8" w:tplc="9612D718">
      <w:start w:val="1"/>
      <w:numFmt w:val="bullet"/>
      <w:lvlText w:val="•"/>
      <w:lvlJc w:val="left"/>
      <w:pPr>
        <w:ind w:left="12068" w:hanging="393"/>
      </w:pPr>
      <w:rPr>
        <w:rFonts w:hint="default"/>
      </w:rPr>
    </w:lvl>
  </w:abstractNum>
  <w:abstractNum w:abstractNumId="2" w15:restartNumberingAfterBreak="0">
    <w:nsid w:val="187C7F26"/>
    <w:multiLevelType w:val="hybridMultilevel"/>
    <w:tmpl w:val="47B437E0"/>
    <w:lvl w:ilvl="0" w:tplc="D65052B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F8D6D8C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6E011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2E63C8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F2458A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E685A0E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3F4330C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E0EAD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74011A2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3" w15:restartNumberingAfterBreak="0">
    <w:nsid w:val="19C5572D"/>
    <w:multiLevelType w:val="hybridMultilevel"/>
    <w:tmpl w:val="26BA35AC"/>
    <w:lvl w:ilvl="0" w:tplc="7B363A74">
      <w:start w:val="1"/>
      <w:numFmt w:val="bullet"/>
      <w:lvlText w:val=""/>
      <w:lvlJc w:val="left"/>
      <w:pPr>
        <w:ind w:left="553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C304227E">
      <w:start w:val="1"/>
      <w:numFmt w:val="bullet"/>
      <w:lvlText w:val="•"/>
      <w:lvlJc w:val="left"/>
      <w:pPr>
        <w:ind w:left="940" w:hanging="282"/>
      </w:pPr>
      <w:rPr>
        <w:rFonts w:hint="default"/>
      </w:rPr>
    </w:lvl>
    <w:lvl w:ilvl="2" w:tplc="80BAF2CC">
      <w:start w:val="1"/>
      <w:numFmt w:val="bullet"/>
      <w:lvlText w:val="•"/>
      <w:lvlJc w:val="left"/>
      <w:pPr>
        <w:ind w:left="2484" w:hanging="282"/>
      </w:pPr>
      <w:rPr>
        <w:rFonts w:hint="default"/>
      </w:rPr>
    </w:lvl>
    <w:lvl w:ilvl="3" w:tplc="30DA8CBC">
      <w:start w:val="1"/>
      <w:numFmt w:val="bullet"/>
      <w:lvlText w:val="•"/>
      <w:lvlJc w:val="left"/>
      <w:pPr>
        <w:ind w:left="4028" w:hanging="282"/>
      </w:pPr>
      <w:rPr>
        <w:rFonts w:hint="default"/>
      </w:rPr>
    </w:lvl>
    <w:lvl w:ilvl="4" w:tplc="82D2448C">
      <w:start w:val="1"/>
      <w:numFmt w:val="bullet"/>
      <w:lvlText w:val="•"/>
      <w:lvlJc w:val="left"/>
      <w:pPr>
        <w:ind w:left="5573" w:hanging="282"/>
      </w:pPr>
      <w:rPr>
        <w:rFonts w:hint="default"/>
      </w:rPr>
    </w:lvl>
    <w:lvl w:ilvl="5" w:tplc="037AAF2A">
      <w:start w:val="1"/>
      <w:numFmt w:val="bullet"/>
      <w:lvlText w:val="•"/>
      <w:lvlJc w:val="left"/>
      <w:pPr>
        <w:ind w:left="7117" w:hanging="282"/>
      </w:pPr>
      <w:rPr>
        <w:rFonts w:hint="default"/>
      </w:rPr>
    </w:lvl>
    <w:lvl w:ilvl="6" w:tplc="6E32CBD0">
      <w:start w:val="1"/>
      <w:numFmt w:val="bullet"/>
      <w:lvlText w:val="•"/>
      <w:lvlJc w:val="left"/>
      <w:pPr>
        <w:ind w:left="8662" w:hanging="282"/>
      </w:pPr>
      <w:rPr>
        <w:rFonts w:hint="default"/>
      </w:rPr>
    </w:lvl>
    <w:lvl w:ilvl="7" w:tplc="887211D2">
      <w:start w:val="1"/>
      <w:numFmt w:val="bullet"/>
      <w:lvlText w:val="•"/>
      <w:lvlJc w:val="left"/>
      <w:pPr>
        <w:ind w:left="10206" w:hanging="282"/>
      </w:pPr>
      <w:rPr>
        <w:rFonts w:hint="default"/>
      </w:rPr>
    </w:lvl>
    <w:lvl w:ilvl="8" w:tplc="1E1A3AE8">
      <w:start w:val="1"/>
      <w:numFmt w:val="bullet"/>
      <w:lvlText w:val="•"/>
      <w:lvlJc w:val="left"/>
      <w:pPr>
        <w:ind w:left="11751" w:hanging="282"/>
      </w:pPr>
      <w:rPr>
        <w:rFonts w:hint="default"/>
      </w:rPr>
    </w:lvl>
  </w:abstractNum>
  <w:abstractNum w:abstractNumId="4" w15:restartNumberingAfterBreak="0">
    <w:nsid w:val="20B16BAB"/>
    <w:multiLevelType w:val="hybridMultilevel"/>
    <w:tmpl w:val="96282BDC"/>
    <w:lvl w:ilvl="0" w:tplc="ED9AB83E">
      <w:start w:val="1"/>
      <w:numFmt w:val="lowerLetter"/>
      <w:lvlText w:val="%1."/>
      <w:lvlJc w:val="left"/>
      <w:pPr>
        <w:ind w:left="935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9EE26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2862B678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3" w:tplc="AD2C2108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4" w:tplc="AFB2F3E6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5" w:tplc="6C86E484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6" w:tplc="5336D1F8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98D813FE">
      <w:start w:val="1"/>
      <w:numFmt w:val="bullet"/>
      <w:lvlText w:val="•"/>
      <w:lvlJc w:val="left"/>
      <w:pPr>
        <w:ind w:left="10656" w:hanging="360"/>
      </w:pPr>
      <w:rPr>
        <w:rFonts w:hint="default"/>
      </w:rPr>
    </w:lvl>
    <w:lvl w:ilvl="8" w:tplc="45CE86E8">
      <w:start w:val="1"/>
      <w:numFmt w:val="bullet"/>
      <w:lvlText w:val="•"/>
      <w:lvlJc w:val="left"/>
      <w:pPr>
        <w:ind w:left="12044" w:hanging="360"/>
      </w:pPr>
      <w:rPr>
        <w:rFonts w:hint="default"/>
      </w:rPr>
    </w:lvl>
  </w:abstractNum>
  <w:abstractNum w:abstractNumId="5" w15:restartNumberingAfterBreak="0">
    <w:nsid w:val="2A1F31BA"/>
    <w:multiLevelType w:val="hybridMultilevel"/>
    <w:tmpl w:val="E856AC54"/>
    <w:lvl w:ilvl="0" w:tplc="8604E75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F62AF0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83F4CEF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0AB643E0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D8ACCC6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413AD05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B8E64D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37B814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E1FAC53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6" w15:restartNumberingAfterBreak="0">
    <w:nsid w:val="2AD31EA2"/>
    <w:multiLevelType w:val="hybridMultilevel"/>
    <w:tmpl w:val="D0EEC0EE"/>
    <w:lvl w:ilvl="0" w:tplc="02FCE08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D2BB6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E28D0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646F84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B1DE0EE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2CA916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EA4B8B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7AC699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22A33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7" w15:restartNumberingAfterBreak="0">
    <w:nsid w:val="2B50533E"/>
    <w:multiLevelType w:val="hybridMultilevel"/>
    <w:tmpl w:val="85602646"/>
    <w:lvl w:ilvl="0" w:tplc="8E70FBA0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EBA0E99A">
      <w:start w:val="1"/>
      <w:numFmt w:val="bullet"/>
      <w:lvlText w:val="•"/>
      <w:lvlJc w:val="left"/>
      <w:pPr>
        <w:ind w:left="1218" w:hanging="328"/>
      </w:pPr>
      <w:rPr>
        <w:rFonts w:hint="default"/>
      </w:rPr>
    </w:lvl>
    <w:lvl w:ilvl="2" w:tplc="561E17E0">
      <w:start w:val="1"/>
      <w:numFmt w:val="bullet"/>
      <w:lvlText w:val="•"/>
      <w:lvlJc w:val="left"/>
      <w:pPr>
        <w:ind w:left="1996" w:hanging="328"/>
      </w:pPr>
      <w:rPr>
        <w:rFonts w:hint="default"/>
      </w:rPr>
    </w:lvl>
    <w:lvl w:ilvl="3" w:tplc="5A46BE7E">
      <w:start w:val="1"/>
      <w:numFmt w:val="bullet"/>
      <w:lvlText w:val="•"/>
      <w:lvlJc w:val="left"/>
      <w:pPr>
        <w:ind w:left="2775" w:hanging="328"/>
      </w:pPr>
      <w:rPr>
        <w:rFonts w:hint="default"/>
      </w:rPr>
    </w:lvl>
    <w:lvl w:ilvl="4" w:tplc="9E9A013E">
      <w:start w:val="1"/>
      <w:numFmt w:val="bullet"/>
      <w:lvlText w:val="•"/>
      <w:lvlJc w:val="left"/>
      <w:pPr>
        <w:ind w:left="3553" w:hanging="328"/>
      </w:pPr>
      <w:rPr>
        <w:rFonts w:hint="default"/>
      </w:rPr>
    </w:lvl>
    <w:lvl w:ilvl="5" w:tplc="FF1A388E">
      <w:start w:val="1"/>
      <w:numFmt w:val="bullet"/>
      <w:lvlText w:val="•"/>
      <w:lvlJc w:val="left"/>
      <w:pPr>
        <w:ind w:left="4331" w:hanging="328"/>
      </w:pPr>
      <w:rPr>
        <w:rFonts w:hint="default"/>
      </w:rPr>
    </w:lvl>
    <w:lvl w:ilvl="6" w:tplc="03F89D6A">
      <w:start w:val="1"/>
      <w:numFmt w:val="bullet"/>
      <w:lvlText w:val="•"/>
      <w:lvlJc w:val="left"/>
      <w:pPr>
        <w:ind w:left="5110" w:hanging="328"/>
      </w:pPr>
      <w:rPr>
        <w:rFonts w:hint="default"/>
      </w:rPr>
    </w:lvl>
    <w:lvl w:ilvl="7" w:tplc="6B02AFE4">
      <w:start w:val="1"/>
      <w:numFmt w:val="bullet"/>
      <w:lvlText w:val="•"/>
      <w:lvlJc w:val="left"/>
      <w:pPr>
        <w:ind w:left="5888" w:hanging="328"/>
      </w:pPr>
      <w:rPr>
        <w:rFonts w:hint="default"/>
      </w:rPr>
    </w:lvl>
    <w:lvl w:ilvl="8" w:tplc="3E64F53A">
      <w:start w:val="1"/>
      <w:numFmt w:val="bullet"/>
      <w:lvlText w:val="•"/>
      <w:lvlJc w:val="left"/>
      <w:pPr>
        <w:ind w:left="6666" w:hanging="328"/>
      </w:pPr>
      <w:rPr>
        <w:rFonts w:hint="default"/>
      </w:rPr>
    </w:lvl>
  </w:abstractNum>
  <w:abstractNum w:abstractNumId="8" w15:restartNumberingAfterBreak="0">
    <w:nsid w:val="3012620C"/>
    <w:multiLevelType w:val="hybridMultilevel"/>
    <w:tmpl w:val="600C1FF0"/>
    <w:lvl w:ilvl="0" w:tplc="9AB0FF16">
      <w:start w:val="1"/>
      <w:numFmt w:val="lowerLetter"/>
      <w:lvlText w:val="%1)"/>
      <w:lvlJc w:val="left"/>
      <w:pPr>
        <w:ind w:left="103" w:hanging="365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8B5E1F4A">
      <w:start w:val="1"/>
      <w:numFmt w:val="bullet"/>
      <w:lvlText w:val="•"/>
      <w:lvlJc w:val="left"/>
      <w:pPr>
        <w:ind w:left="912" w:hanging="365"/>
      </w:pPr>
      <w:rPr>
        <w:rFonts w:hint="default"/>
      </w:rPr>
    </w:lvl>
    <w:lvl w:ilvl="2" w:tplc="D0AABC9C">
      <w:start w:val="1"/>
      <w:numFmt w:val="bullet"/>
      <w:lvlText w:val="•"/>
      <w:lvlJc w:val="left"/>
      <w:pPr>
        <w:ind w:left="1724" w:hanging="365"/>
      </w:pPr>
      <w:rPr>
        <w:rFonts w:hint="default"/>
      </w:rPr>
    </w:lvl>
    <w:lvl w:ilvl="3" w:tplc="2910D468">
      <w:start w:val="1"/>
      <w:numFmt w:val="bullet"/>
      <w:lvlText w:val="•"/>
      <w:lvlJc w:val="left"/>
      <w:pPr>
        <w:ind w:left="2537" w:hanging="365"/>
      </w:pPr>
      <w:rPr>
        <w:rFonts w:hint="default"/>
      </w:rPr>
    </w:lvl>
    <w:lvl w:ilvl="4" w:tplc="35E4F6C8">
      <w:start w:val="1"/>
      <w:numFmt w:val="bullet"/>
      <w:lvlText w:val="•"/>
      <w:lvlJc w:val="left"/>
      <w:pPr>
        <w:ind w:left="3349" w:hanging="365"/>
      </w:pPr>
      <w:rPr>
        <w:rFonts w:hint="default"/>
      </w:rPr>
    </w:lvl>
    <w:lvl w:ilvl="5" w:tplc="0076F638">
      <w:start w:val="1"/>
      <w:numFmt w:val="bullet"/>
      <w:lvlText w:val="•"/>
      <w:lvlJc w:val="left"/>
      <w:pPr>
        <w:ind w:left="4161" w:hanging="365"/>
      </w:pPr>
      <w:rPr>
        <w:rFonts w:hint="default"/>
      </w:rPr>
    </w:lvl>
    <w:lvl w:ilvl="6" w:tplc="4D88C64A">
      <w:start w:val="1"/>
      <w:numFmt w:val="bullet"/>
      <w:lvlText w:val="•"/>
      <w:lvlJc w:val="left"/>
      <w:pPr>
        <w:ind w:left="4974" w:hanging="365"/>
      </w:pPr>
      <w:rPr>
        <w:rFonts w:hint="default"/>
      </w:rPr>
    </w:lvl>
    <w:lvl w:ilvl="7" w:tplc="9C587F12">
      <w:start w:val="1"/>
      <w:numFmt w:val="bullet"/>
      <w:lvlText w:val="•"/>
      <w:lvlJc w:val="left"/>
      <w:pPr>
        <w:ind w:left="5786" w:hanging="365"/>
      </w:pPr>
      <w:rPr>
        <w:rFonts w:hint="default"/>
      </w:rPr>
    </w:lvl>
    <w:lvl w:ilvl="8" w:tplc="66542644">
      <w:start w:val="1"/>
      <w:numFmt w:val="bullet"/>
      <w:lvlText w:val="•"/>
      <w:lvlJc w:val="left"/>
      <w:pPr>
        <w:ind w:left="6598" w:hanging="365"/>
      </w:pPr>
      <w:rPr>
        <w:rFonts w:hint="default"/>
      </w:rPr>
    </w:lvl>
  </w:abstractNum>
  <w:abstractNum w:abstractNumId="9" w15:restartNumberingAfterBreak="0">
    <w:nsid w:val="34944E48"/>
    <w:multiLevelType w:val="hybridMultilevel"/>
    <w:tmpl w:val="C9D8F092"/>
    <w:lvl w:ilvl="0" w:tplc="B0C04FD4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E66EA28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CE6E006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56A014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050E52B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F002355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2E5AE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00E88A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46CA07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0" w15:restartNumberingAfterBreak="0">
    <w:nsid w:val="37074EA7"/>
    <w:multiLevelType w:val="hybridMultilevel"/>
    <w:tmpl w:val="50809F0A"/>
    <w:lvl w:ilvl="0" w:tplc="AA02A67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4E3FC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DF3A716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840669EA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ADE6CCB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FF422954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E07A67FC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8AE2609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A7B2FBD2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11" w15:restartNumberingAfterBreak="0">
    <w:nsid w:val="39570A29"/>
    <w:multiLevelType w:val="hybridMultilevel"/>
    <w:tmpl w:val="E5D01C0C"/>
    <w:lvl w:ilvl="0" w:tplc="7B3AC6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47CA38C">
      <w:start w:val="2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97C837E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6877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60589ABE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F5E4D48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0DEB566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84C6207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CA8D05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2" w15:restartNumberingAfterBreak="0">
    <w:nsid w:val="40FE10ED"/>
    <w:multiLevelType w:val="hybridMultilevel"/>
    <w:tmpl w:val="103A0864"/>
    <w:lvl w:ilvl="0" w:tplc="4684B2EA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6C068408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5A59CA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336C0D4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24A8E0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9F420F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DCA30A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384868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6B0841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3" w15:restartNumberingAfterBreak="0">
    <w:nsid w:val="53A7007F"/>
    <w:multiLevelType w:val="hybridMultilevel"/>
    <w:tmpl w:val="4D14745A"/>
    <w:lvl w:ilvl="0" w:tplc="FDE03B8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C5E79C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EFFE938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CF65E10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07AEE16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F6966E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74FA3CDE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F1A3888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0A21516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4" w15:restartNumberingAfterBreak="0">
    <w:nsid w:val="5A262C71"/>
    <w:multiLevelType w:val="hybridMultilevel"/>
    <w:tmpl w:val="734A480A"/>
    <w:lvl w:ilvl="0" w:tplc="7B3AC6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823" w:hanging="360"/>
      </w:pPr>
      <w:rPr>
        <w:rFonts w:hint="default"/>
        <w:w w:val="99"/>
        <w:sz w:val="22"/>
        <w:szCs w:val="22"/>
      </w:rPr>
    </w:lvl>
    <w:lvl w:ilvl="2" w:tplc="A97C837E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6877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60589ABE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F5E4D48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0DEB566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84C6207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CA8D05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5" w15:restartNumberingAfterBreak="0">
    <w:nsid w:val="616C3D09"/>
    <w:multiLevelType w:val="hybridMultilevel"/>
    <w:tmpl w:val="96282BDC"/>
    <w:lvl w:ilvl="0" w:tplc="ED9AB83E">
      <w:start w:val="1"/>
      <w:numFmt w:val="low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9EE260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2" w:tplc="2862B678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3" w:tplc="AD2C2108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4" w:tplc="AFB2F3E6">
      <w:start w:val="1"/>
      <w:numFmt w:val="bullet"/>
      <w:lvlText w:val="•"/>
      <w:lvlJc w:val="left"/>
      <w:pPr>
        <w:ind w:left="6768" w:hanging="360"/>
      </w:pPr>
      <w:rPr>
        <w:rFonts w:hint="default"/>
      </w:rPr>
    </w:lvl>
    <w:lvl w:ilvl="5" w:tplc="6C86E484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  <w:lvl w:ilvl="6" w:tplc="5336D1F8">
      <w:start w:val="1"/>
      <w:numFmt w:val="bullet"/>
      <w:lvlText w:val="•"/>
      <w:lvlJc w:val="left"/>
      <w:pPr>
        <w:ind w:left="9544" w:hanging="360"/>
      </w:pPr>
      <w:rPr>
        <w:rFonts w:hint="default"/>
      </w:rPr>
    </w:lvl>
    <w:lvl w:ilvl="7" w:tplc="98D813FE">
      <w:start w:val="1"/>
      <w:numFmt w:val="bullet"/>
      <w:lvlText w:val="•"/>
      <w:lvlJc w:val="left"/>
      <w:pPr>
        <w:ind w:left="10932" w:hanging="360"/>
      </w:pPr>
      <w:rPr>
        <w:rFonts w:hint="default"/>
      </w:rPr>
    </w:lvl>
    <w:lvl w:ilvl="8" w:tplc="45CE86E8">
      <w:start w:val="1"/>
      <w:numFmt w:val="bullet"/>
      <w:lvlText w:val="•"/>
      <w:lvlJc w:val="left"/>
      <w:pPr>
        <w:ind w:left="12320" w:hanging="360"/>
      </w:pPr>
      <w:rPr>
        <w:rFonts w:hint="default"/>
      </w:rPr>
    </w:lvl>
  </w:abstractNum>
  <w:abstractNum w:abstractNumId="16" w15:restartNumberingAfterBreak="0">
    <w:nsid w:val="65083D63"/>
    <w:multiLevelType w:val="hybridMultilevel"/>
    <w:tmpl w:val="7456A1C4"/>
    <w:lvl w:ilvl="0" w:tplc="76E6E458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8CB2F8B4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ABE04F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25627416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F5487D00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ED022782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F6D25EA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35AEA7D8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B4FA50EE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17" w15:restartNumberingAfterBreak="0">
    <w:nsid w:val="65B637C2"/>
    <w:multiLevelType w:val="hybridMultilevel"/>
    <w:tmpl w:val="BC9A0490"/>
    <w:lvl w:ilvl="0" w:tplc="4DC6081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D166B6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7A815C0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E5545D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B8488F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8C32E520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D4E09C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12E09B4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3A9E36A8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8" w15:restartNumberingAfterBreak="0">
    <w:nsid w:val="6C9A2423"/>
    <w:multiLevelType w:val="hybridMultilevel"/>
    <w:tmpl w:val="09FC7502"/>
    <w:lvl w:ilvl="0" w:tplc="59E2CEF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961252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32C3584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91B41D56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BD2A93B6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B848FF0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508C6DB2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BF8866F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BEEE404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9" w15:restartNumberingAfterBreak="0">
    <w:nsid w:val="7F1D5506"/>
    <w:multiLevelType w:val="hybridMultilevel"/>
    <w:tmpl w:val="1FEAD690"/>
    <w:lvl w:ilvl="0" w:tplc="065E7F2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AF6973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E2C2CC1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F376B250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349CA568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6B89FC2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6B463D8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EABE327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05A4DB8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8"/>
  </w:num>
  <w:num w:numId="5">
    <w:abstractNumId w:val="11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17"/>
  </w:num>
  <w:num w:numId="12">
    <w:abstractNumId w:val="6"/>
  </w:num>
  <w:num w:numId="13">
    <w:abstractNumId w:val="12"/>
  </w:num>
  <w:num w:numId="14">
    <w:abstractNumId w:val="10"/>
  </w:num>
  <w:num w:numId="15">
    <w:abstractNumId w:val="8"/>
  </w:num>
  <w:num w:numId="16">
    <w:abstractNumId w:val="9"/>
  </w:num>
  <w:num w:numId="17">
    <w:abstractNumId w:val="2"/>
  </w:num>
  <w:num w:numId="18">
    <w:abstractNumId w:val="1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BF"/>
    <w:rsid w:val="00074BAB"/>
    <w:rsid w:val="00086704"/>
    <w:rsid w:val="000C4B12"/>
    <w:rsid w:val="002E7BFC"/>
    <w:rsid w:val="00681862"/>
    <w:rsid w:val="006D7D8A"/>
    <w:rsid w:val="007C3FC4"/>
    <w:rsid w:val="009030C8"/>
    <w:rsid w:val="00A40F29"/>
    <w:rsid w:val="00A92B2B"/>
    <w:rsid w:val="00BD6E41"/>
    <w:rsid w:val="00C203BF"/>
    <w:rsid w:val="00E1048C"/>
    <w:rsid w:val="00E43AD0"/>
    <w:rsid w:val="00E447FC"/>
    <w:rsid w:val="00F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8D2E4-4109-4AA1-94D9-86F3071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3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203B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1"/>
    <w:qFormat/>
    <w:rsid w:val="00C203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2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203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0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1"/>
    <w:locked/>
    <w:rsid w:val="00C203B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203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203BF"/>
    <w:pPr>
      <w:widowControl w:val="0"/>
      <w:ind w:left="103" w:right="34"/>
    </w:pPr>
    <w:rPr>
      <w:sz w:val="22"/>
      <w:szCs w:val="22"/>
      <w:lang w:val="en-US" w:eastAsia="en-US"/>
    </w:rPr>
  </w:style>
  <w:style w:type="paragraph" w:customStyle="1" w:styleId="Style2">
    <w:name w:val="Style2"/>
    <w:basedOn w:val="Normalny"/>
    <w:uiPriority w:val="99"/>
    <w:rsid w:val="00C203BF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Domylnaczcionkaakapitu"/>
    <w:uiPriority w:val="99"/>
    <w:rsid w:val="00C203BF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2541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dcterms:created xsi:type="dcterms:W3CDTF">2016-11-30T14:09:00Z</dcterms:created>
  <dcterms:modified xsi:type="dcterms:W3CDTF">2016-11-30T14:09:00Z</dcterms:modified>
</cp:coreProperties>
</file>