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E8" w:rsidRPr="00E43AD0" w:rsidRDefault="00A140E8" w:rsidP="00A140E8">
      <w:pPr>
        <w:pStyle w:val="Style2"/>
        <w:widowControl/>
        <w:spacing w:before="53" w:line="274" w:lineRule="exact"/>
        <w:jc w:val="center"/>
        <w:rPr>
          <w:rStyle w:val="FontStyle33"/>
          <w:rFonts w:ascii="Arial Narrow" w:hAnsi="Arial Narrow"/>
          <w:i w:val="0"/>
          <w:sz w:val="28"/>
          <w:szCs w:val="28"/>
        </w:rPr>
      </w:pPr>
      <w:bookmarkStart w:id="0" w:name="_GoBack"/>
      <w:bookmarkEnd w:id="0"/>
      <w:r w:rsidRPr="00E43AD0">
        <w:rPr>
          <w:rStyle w:val="FontStyle33"/>
          <w:rFonts w:ascii="Arial Narrow" w:hAnsi="Arial Narrow"/>
          <w:sz w:val="28"/>
          <w:szCs w:val="28"/>
        </w:rPr>
        <w:t>Lista kontrolna dla projektów z pomocą publiczną opartych o rozporządzenie Komisji nr 651/2014 z dnia 17 czerwca 2014 r.</w:t>
      </w:r>
      <w:r>
        <w:rPr>
          <w:rStyle w:val="FontStyle33"/>
          <w:rFonts w:ascii="Arial Narrow" w:hAnsi="Arial Narrow"/>
          <w:sz w:val="28"/>
          <w:szCs w:val="28"/>
        </w:rPr>
        <w:t xml:space="preserve"> dotycząca pomocy na </w:t>
      </w:r>
      <w:r w:rsidRPr="00A140E8">
        <w:rPr>
          <w:rStyle w:val="FontStyle33"/>
          <w:rFonts w:ascii="Arial Narrow" w:hAnsi="Arial Narrow"/>
          <w:sz w:val="28"/>
          <w:szCs w:val="28"/>
        </w:rPr>
        <w:t>infrastrukturę sportową i wielofunkcyjną infrastrukturę rekreacyjną</w:t>
      </w:r>
    </w:p>
    <w:p w:rsidR="00A140E8" w:rsidRPr="00FE6953" w:rsidRDefault="00A140E8" w:rsidP="00A140E8">
      <w:pPr>
        <w:pStyle w:val="Style2"/>
        <w:widowControl/>
        <w:spacing w:before="53" w:line="274" w:lineRule="exact"/>
        <w:jc w:val="center"/>
        <w:rPr>
          <w:rStyle w:val="FontStyle33"/>
          <w:rFonts w:ascii="Arial Narrow" w:hAnsi="Arial Narrow"/>
        </w:rPr>
      </w:pPr>
      <w:r w:rsidRPr="00FE6953">
        <w:rPr>
          <w:rStyle w:val="FontStyle33"/>
          <w:rFonts w:ascii="Arial Narrow" w:hAnsi="Arial Narrow"/>
        </w:rPr>
        <w:t>Niniejsza lista kontrolna nie jest oficjalnym dokumentem Komisji Europejskiej. Może być ona pomocnym, dodatkowym narzędziem w kontekście stosowania rozporządzenia Komisji nr 651/2014 z dnia 17 czerwca 2014 r. (ogólnego rozporządzenia w sprawie wyłączeń blokowych), jednak nie zastępuje ona tego rozporządzenia. Aby skorzystać z wyłączenia z wymogu zgłoszenia określonego w rozporządzeniu, konieczne jest zachowanie pełnej zgodności z jego przepisami.</w:t>
      </w:r>
    </w:p>
    <w:p w:rsidR="00A140E8" w:rsidRPr="00074BAB" w:rsidRDefault="00A140E8" w:rsidP="00A140E8">
      <w:pPr>
        <w:jc w:val="center"/>
        <w:rPr>
          <w:rFonts w:ascii="Arial Narrow" w:hAnsi="Arial Narrow"/>
          <w:b/>
          <w:i/>
          <w:color w:val="FF0000"/>
        </w:rPr>
      </w:pPr>
      <w:r w:rsidRPr="00074BAB">
        <w:rPr>
          <w:rFonts w:ascii="Arial Narrow" w:hAnsi="Arial Narrow"/>
          <w:b/>
          <w:i/>
          <w:color w:val="FF0000"/>
        </w:rPr>
        <w:t>Należy mieć na uwadze, iż gdy projekt ubiega się o pomoc publiczną na podstawie rozporządzenia wydanego przez ministra właściwego ds. rozwoju, to rozporządzenie polskie może nakładać dodatkowe warunki lub ograniczenia dotyczące pomocy publicznej. Konieczne jest więc jednoczesne korzystanie z tekstu rozporządzenia ministra.</w:t>
      </w:r>
    </w:p>
    <w:p w:rsidR="00A140E8" w:rsidRPr="00A140E8" w:rsidRDefault="00A140E8" w:rsidP="00A140E8">
      <w:pPr>
        <w:keepNext/>
        <w:keepLines/>
        <w:spacing w:before="72" w:after="0" w:line="240" w:lineRule="auto"/>
        <w:ind w:right="98"/>
        <w:jc w:val="center"/>
        <w:outlineLvl w:val="1"/>
        <w:rPr>
          <w:rFonts w:ascii="Times New Roman" w:eastAsia="Times New Roman" w:hAnsi="Times New Roman" w:cs="Times New Roman"/>
          <w:b/>
          <w:color w:val="365F91"/>
          <w:sz w:val="26"/>
          <w:szCs w:val="26"/>
          <w:u w:val="single"/>
          <w:lang w:eastAsia="pl-PL"/>
        </w:rPr>
      </w:pPr>
      <w:r w:rsidRPr="00A140E8">
        <w:rPr>
          <w:rFonts w:ascii="Times New Roman" w:eastAsia="Times New Roman" w:hAnsi="Times New Roman" w:cs="Times New Roman"/>
          <w:b/>
          <w:color w:val="365F91"/>
          <w:sz w:val="26"/>
          <w:szCs w:val="26"/>
          <w:u w:val="single"/>
          <w:lang w:eastAsia="pl-PL"/>
        </w:rPr>
        <w:t>Ogólne rozporządzenie w sprawie wyłączeń blokowych (rozporządzenie 651/2014) - dokument roboczy Pomoc na infrastrukturę sportową i wielofunkcyjną infrastrukturę rekreacyjną</w:t>
      </w:r>
    </w:p>
    <w:p w:rsidR="00A140E8" w:rsidRPr="00A140E8" w:rsidRDefault="00A140E8" w:rsidP="00A140E8">
      <w:pPr>
        <w:spacing w:after="0" w:line="240" w:lineRule="auto"/>
        <w:ind w:left="837" w:right="6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140E8">
        <w:rPr>
          <w:rFonts w:ascii="Times New Roman" w:eastAsia="Times New Roman" w:hAnsi="Times New Roman" w:cs="Times New Roman"/>
          <w:sz w:val="20"/>
          <w:szCs w:val="20"/>
          <w:lang w:eastAsia="pl-PL"/>
        </w:rPr>
        <w:t>Najpierw należy sprawdzić ogólne warunki stosowania ogólnego rozporządzenia w sprawie wyłączeń blokowych (12 warunków, art. 1-12), a następnie warunki dotyczące pomocy na infrastrukturę sportową i wielofunkcyjną infrastrukturę rekreacyjną.</w:t>
      </w:r>
    </w:p>
    <w:p w:rsidR="00A140E8" w:rsidRPr="00A140E8" w:rsidRDefault="00A140E8" w:rsidP="00A140E8">
      <w:pPr>
        <w:widowControl w:val="0"/>
        <w:tabs>
          <w:tab w:val="left" w:pos="6474"/>
        </w:tabs>
        <w:spacing w:before="1" w:after="0" w:line="240" w:lineRule="auto"/>
        <w:jc w:val="center"/>
        <w:outlineLvl w:val="1"/>
        <w:rPr>
          <w:rFonts w:ascii="Cambria" w:eastAsia="Times New Roman" w:hAnsi="Cambria" w:cs="Times New Roman"/>
          <w:b/>
          <w:color w:val="365F91"/>
          <w:sz w:val="24"/>
          <w:szCs w:val="26"/>
          <w:lang w:eastAsia="pl-PL"/>
        </w:rPr>
      </w:pPr>
      <w:r w:rsidRPr="00A140E8">
        <w:rPr>
          <w:rFonts w:ascii="Times New Roman" w:eastAsia="Times New Roman" w:hAnsi="Times New Roman" w:cs="Times New Roman"/>
          <w:color w:val="365F91"/>
          <w:sz w:val="24"/>
          <w:szCs w:val="24"/>
          <w:u w:val="thick"/>
          <w:lang w:eastAsia="pl-PL"/>
        </w:rPr>
        <w:t>A. Ogólne warunki</w:t>
      </w:r>
      <w:r w:rsidRPr="00A140E8">
        <w:rPr>
          <w:rFonts w:ascii="Times New Roman" w:eastAsia="Times New Roman" w:hAnsi="Times New Roman" w:cs="Times New Roman"/>
          <w:color w:val="365F91"/>
          <w:spacing w:val="-12"/>
          <w:sz w:val="24"/>
          <w:szCs w:val="24"/>
          <w:u w:val="thick"/>
          <w:lang w:eastAsia="pl-PL"/>
        </w:rPr>
        <w:t xml:space="preserve"> </w:t>
      </w:r>
      <w:r w:rsidRPr="00A140E8">
        <w:rPr>
          <w:rFonts w:ascii="Times New Roman" w:eastAsia="Times New Roman" w:hAnsi="Times New Roman" w:cs="Times New Roman"/>
          <w:color w:val="365F91"/>
          <w:sz w:val="24"/>
          <w:szCs w:val="24"/>
          <w:u w:val="thick"/>
          <w:lang w:eastAsia="pl-PL"/>
        </w:rPr>
        <w:t>stosowania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9"/>
        <w:gridCol w:w="5117"/>
      </w:tblGrid>
      <w:tr w:rsidR="00A140E8" w:rsidRPr="00A140E8" w:rsidTr="00A140E8">
        <w:trPr>
          <w:trHeight w:hRule="exact" w:val="258"/>
        </w:trPr>
        <w:tc>
          <w:tcPr>
            <w:tcW w:w="9239" w:type="dxa"/>
            <w:shd w:val="clear" w:color="auto" w:fill="333399"/>
          </w:tcPr>
          <w:p w:rsidR="00A140E8" w:rsidRPr="00A140E8" w:rsidRDefault="00A140E8" w:rsidP="00A140E8">
            <w:pPr>
              <w:spacing w:line="252" w:lineRule="exact"/>
              <w:ind w:left="2191" w:right="34"/>
              <w:rPr>
                <w:rFonts w:ascii="Times New Roman" w:eastAsia="Times New Roman" w:hAnsi="Times New Roman" w:cs="Times New Roman"/>
                <w:b/>
                <w:sz w:val="18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color w:val="FFFFFF"/>
              </w:rPr>
              <w:t>O</w:t>
            </w:r>
            <w:r w:rsidRPr="00A140E8"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>GÓLNE WARUNKI ZGODNOŚCI</w:t>
            </w:r>
          </w:p>
        </w:tc>
        <w:tc>
          <w:tcPr>
            <w:tcW w:w="5117" w:type="dxa"/>
            <w:shd w:val="clear" w:color="auto" w:fill="333399"/>
          </w:tcPr>
          <w:p w:rsidR="00A140E8" w:rsidRPr="00A140E8" w:rsidRDefault="00A140E8" w:rsidP="00A140E8">
            <w:pPr>
              <w:spacing w:line="252" w:lineRule="exact"/>
              <w:ind w:left="1749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color w:val="FFFFFF"/>
              </w:rPr>
              <w:t>K</w:t>
            </w:r>
            <w:r w:rsidRPr="00A140E8"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 xml:space="preserve">ONTROLA ZGODNOŚCI </w:t>
            </w:r>
            <w:r w:rsidRPr="00A140E8">
              <w:rPr>
                <w:rFonts w:ascii="Times New Roman" w:eastAsia="Times New Roman" w:hAnsi="Times New Roman" w:cs="Times New Roman"/>
                <w:b/>
                <w:color w:val="FFFFFF"/>
              </w:rPr>
              <w:t>(OK?)</w:t>
            </w:r>
          </w:p>
        </w:tc>
      </w:tr>
      <w:tr w:rsidR="00A140E8" w:rsidRPr="00A140E8" w:rsidTr="00A140E8">
        <w:trPr>
          <w:trHeight w:hRule="exact" w:val="268"/>
        </w:trPr>
        <w:tc>
          <w:tcPr>
            <w:tcW w:w="9239" w:type="dxa"/>
            <w:shd w:val="clear" w:color="auto" w:fill="DADADA"/>
          </w:tcPr>
          <w:p w:rsidR="00A140E8" w:rsidRPr="00A140E8" w:rsidRDefault="00A140E8" w:rsidP="00A140E8">
            <w:pPr>
              <w:spacing w:before="3"/>
              <w:ind w:left="103" w:right="34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Artykuł 1 - Wykluczenie niektórych obszarów (ust. 2)</w:t>
            </w:r>
          </w:p>
        </w:tc>
        <w:tc>
          <w:tcPr>
            <w:tcW w:w="5117" w:type="dxa"/>
            <w:vMerge w:val="restart"/>
            <w:tcBorders>
              <w:left w:val="single" w:sz="41" w:space="0" w:color="DADADA"/>
            </w:tcBorders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1054"/>
        </w:trPr>
        <w:tc>
          <w:tcPr>
            <w:tcW w:w="9239" w:type="dxa"/>
          </w:tcPr>
          <w:p w:rsidR="00A140E8" w:rsidRPr="00A140E8" w:rsidRDefault="00A140E8" w:rsidP="00A140E8">
            <w:pPr>
              <w:spacing w:line="250" w:lineRule="exact"/>
              <w:ind w:left="103" w:right="34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u w:val="thick"/>
              </w:rPr>
              <w:t xml:space="preserve">Nie </w:t>
            </w:r>
            <w:r w:rsidRPr="00A140E8">
              <w:rPr>
                <w:rFonts w:ascii="Times New Roman" w:eastAsia="Times New Roman" w:hAnsi="Times New Roman" w:cs="Times New Roman"/>
              </w:rPr>
              <w:t>ma zastosowania do:</w:t>
            </w:r>
          </w:p>
          <w:p w:rsidR="00A140E8" w:rsidRPr="00A140E8" w:rsidRDefault="00A140E8" w:rsidP="00A140E8">
            <w:pPr>
              <w:numPr>
                <w:ilvl w:val="0"/>
                <w:numId w:val="25"/>
              </w:numPr>
              <w:tabs>
                <w:tab w:val="left" w:pos="431"/>
              </w:tabs>
              <w:spacing w:line="269" w:lineRule="exact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 przyznawanej na działalność związaną z</w:t>
            </w:r>
            <w:r w:rsidRPr="00A140E8">
              <w:rPr>
                <w:rFonts w:ascii="Times New Roman" w:eastAsia="Times New Roman" w:hAnsi="Times New Roman" w:cs="Times New Roman"/>
                <w:spacing w:val="-3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wywozem;</w:t>
            </w:r>
          </w:p>
          <w:p w:rsidR="00A140E8" w:rsidRPr="00A140E8" w:rsidRDefault="00A140E8" w:rsidP="00A140E8">
            <w:pPr>
              <w:numPr>
                <w:ilvl w:val="0"/>
                <w:numId w:val="25"/>
              </w:numPr>
              <w:tabs>
                <w:tab w:val="left" w:pos="431"/>
              </w:tabs>
              <w:ind w:right="100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 uwarunkowanej pierwszeństwem użycia towarów produkcji krajowej w stosunku do towarów sprowadzanych z</w:t>
            </w:r>
            <w:r w:rsidRPr="00A140E8">
              <w:rPr>
                <w:rFonts w:ascii="Times New Roman" w:eastAsia="Times New Roman" w:hAnsi="Times New Roman" w:cs="Times New Roman"/>
                <w:spacing w:val="-2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zagranicy.</w:t>
            </w:r>
          </w:p>
        </w:tc>
        <w:tc>
          <w:tcPr>
            <w:tcW w:w="5117" w:type="dxa"/>
            <w:vMerge/>
            <w:tcBorders>
              <w:left w:val="single" w:sz="41" w:space="0" w:color="DADADA"/>
            </w:tcBorders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63"/>
        </w:trPr>
        <w:tc>
          <w:tcPr>
            <w:tcW w:w="9239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Artykuł 1 - Wykluczenie niektórych sektorów (ust. 3)</w:t>
            </w:r>
          </w:p>
        </w:tc>
        <w:tc>
          <w:tcPr>
            <w:tcW w:w="5117" w:type="dxa"/>
            <w:vMerge w:val="restart"/>
            <w:tcBorders>
              <w:left w:val="single" w:sz="41" w:space="0" w:color="DADADA"/>
            </w:tcBorders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3160"/>
        </w:trPr>
        <w:tc>
          <w:tcPr>
            <w:tcW w:w="9239" w:type="dxa"/>
          </w:tcPr>
          <w:p w:rsidR="00A140E8" w:rsidRPr="00A140E8" w:rsidRDefault="00A140E8" w:rsidP="00A140E8">
            <w:pPr>
              <w:numPr>
                <w:ilvl w:val="0"/>
                <w:numId w:val="24"/>
              </w:numPr>
              <w:tabs>
                <w:tab w:val="left" w:pos="431"/>
              </w:tabs>
              <w:spacing w:line="266" w:lineRule="exact"/>
              <w:rPr>
                <w:rFonts w:ascii="Symbol" w:eastAsia="Times New Roman" w:hAnsi="Symbol" w:cs="Times New Roman"/>
                <w:color w:val="FF0000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sektora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rybołówstwa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i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akwakultury*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(podobnie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jak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w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rozporządzeniu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1379/2013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)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;</w:t>
            </w:r>
          </w:p>
          <w:p w:rsidR="00A140E8" w:rsidRPr="00A140E8" w:rsidRDefault="00A140E8" w:rsidP="00A140E8">
            <w:pPr>
              <w:numPr>
                <w:ilvl w:val="0"/>
                <w:numId w:val="24"/>
              </w:numPr>
              <w:tabs>
                <w:tab w:val="left" w:pos="431"/>
              </w:tabs>
              <w:spacing w:line="269" w:lineRule="exact"/>
              <w:rPr>
                <w:rFonts w:ascii="Symbol" w:eastAsia="Times New Roman" w:hAnsi="Symbol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sektora produkcji podstawowej produktów</w:t>
            </w:r>
            <w:r w:rsidRPr="00A140E8">
              <w:rPr>
                <w:rFonts w:ascii="Times New Roman" w:eastAsia="Times New Roman" w:hAnsi="Times New Roman" w:cs="Times New Roman"/>
                <w:spacing w:val="-2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rolnych*;</w:t>
            </w:r>
          </w:p>
          <w:p w:rsidR="00A140E8" w:rsidRPr="00A140E8" w:rsidRDefault="00A140E8" w:rsidP="00A140E8">
            <w:pPr>
              <w:numPr>
                <w:ilvl w:val="0"/>
                <w:numId w:val="24"/>
              </w:numPr>
              <w:tabs>
                <w:tab w:val="left" w:pos="431"/>
              </w:tabs>
              <w:ind w:right="98"/>
              <w:jc w:val="both"/>
              <w:rPr>
                <w:rFonts w:ascii="Symbol" w:eastAsia="Times New Roman" w:hAnsi="Symbol" w:cs="Times New Roman"/>
                <w:color w:val="FF0000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przetwórstwa i wprowadzania do obrotu produktów rolnych*, </w:t>
            </w:r>
            <w:r w:rsidRPr="00A140E8">
              <w:rPr>
                <w:rFonts w:ascii="Times New Roman" w:eastAsia="Times New Roman" w:hAnsi="Times New Roman" w:cs="Times New Roman"/>
                <w:color w:val="FF0000"/>
                <w:lang w:val="pl-PL"/>
              </w:rPr>
              <w:t>jeśli wysokość pomocy ustalana jest na podstawie ceny lub ilości takich produktów nabytych od producentów surowców lub wprowadzonych na rynek przez przedsiębiorstwa objęte pomocą; lub kiedy przyznanie pomocy zależy od faktu przekazania jej w części lub w całości producentom</w:t>
            </w:r>
            <w:r w:rsidRPr="00A140E8">
              <w:rPr>
                <w:rFonts w:ascii="Times New Roman" w:eastAsia="Times New Roman" w:hAnsi="Times New Roman" w:cs="Times New Roman"/>
                <w:color w:val="FF0000"/>
                <w:spacing w:val="-12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color w:val="FF0000"/>
                <w:lang w:val="pl-PL"/>
              </w:rPr>
              <w:t>surowców;</w:t>
            </w:r>
          </w:p>
          <w:p w:rsidR="00A140E8" w:rsidRPr="00A140E8" w:rsidRDefault="00A140E8" w:rsidP="00A140E8">
            <w:pPr>
              <w:numPr>
                <w:ilvl w:val="0"/>
                <w:numId w:val="24"/>
              </w:numPr>
              <w:tabs>
                <w:tab w:val="left" w:pos="431"/>
              </w:tabs>
              <w:ind w:right="99"/>
              <w:jc w:val="both"/>
              <w:rPr>
                <w:rFonts w:ascii="Symbol" w:eastAsia="Times New Roman" w:hAnsi="Symbol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 państwa ułatwiającej zamykanie niekonkurencyjnych kopalń węgla (decyzja Rady nr</w:t>
            </w:r>
            <w:r w:rsidRPr="00A140E8">
              <w:rPr>
                <w:rFonts w:ascii="Times New Roman" w:eastAsia="Times New Roman" w:hAnsi="Times New Roman" w:cs="Times New Roman"/>
                <w:spacing w:val="-7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2010/787)</w:t>
            </w:r>
            <w:r w:rsidRPr="00A140E8">
              <w:rPr>
                <w:rFonts w:ascii="Times New Roman" w:eastAsia="Times New Roman" w:hAnsi="Times New Roman" w:cs="Times New Roman"/>
                <w:color w:val="FF0000"/>
                <w:lang w:val="pl-PL"/>
              </w:rPr>
              <w:t>.</w:t>
            </w:r>
          </w:p>
          <w:p w:rsidR="00A140E8" w:rsidRPr="00A140E8" w:rsidRDefault="00A140E8" w:rsidP="00A140E8">
            <w:pPr>
              <w:ind w:left="430" w:right="98"/>
              <w:jc w:val="both"/>
              <w:rPr>
                <w:rFonts w:ascii="Times New Roman" w:eastAsia="Times New Roman" w:hAnsi="Times New Roman" w:cs="Times New Roman"/>
                <w:i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*</w:t>
            </w:r>
            <w:r w:rsidRPr="00A140E8">
              <w:rPr>
                <w:rFonts w:ascii="Times New Roman" w:eastAsia="Times New Roman" w:hAnsi="Times New Roman" w:cs="Times New Roman"/>
                <w:i/>
                <w:lang w:val="pl-PL"/>
              </w:rPr>
              <w:t>W przypadku przedsiębiorstwa prowadzącego działalność również w sektorach wchodzących w zakres rozporządzenia, rozporządzenie ma zastosowanie do pomocy przyznanej w związku z działalnością w tych sektorach, pod warunkiem że państwa członkowskie zapewnią, że działalność w wyłączonych sektorach nie odniesie korzyści  z</w:t>
            </w:r>
            <w:r w:rsidRPr="00A140E8">
              <w:rPr>
                <w:rFonts w:ascii="Times New Roman" w:eastAsia="Times New Roman" w:hAnsi="Times New Roman" w:cs="Times New Roman"/>
                <w:i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i/>
                <w:lang w:val="pl-PL"/>
              </w:rPr>
              <w:t>pomocy.</w:t>
            </w:r>
          </w:p>
        </w:tc>
        <w:tc>
          <w:tcPr>
            <w:tcW w:w="5117" w:type="dxa"/>
            <w:vMerge/>
            <w:tcBorders>
              <w:left w:val="single" w:sz="41" w:space="0" w:color="DADADA"/>
            </w:tcBorders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516"/>
        </w:trPr>
        <w:tc>
          <w:tcPr>
            <w:tcW w:w="9239" w:type="dxa"/>
            <w:shd w:val="clear" w:color="auto" w:fill="DADADA"/>
          </w:tcPr>
          <w:p w:rsidR="00A140E8" w:rsidRPr="00A140E8" w:rsidRDefault="00A140E8" w:rsidP="00A140E8">
            <w:pPr>
              <w:ind w:left="103" w:right="34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Artykuł 1 - Wykluczenie przedsiębiorstw, do których zastosowanie ma zasada Deggendorf (ust. 4)</w:t>
            </w:r>
          </w:p>
        </w:tc>
        <w:tc>
          <w:tcPr>
            <w:tcW w:w="5117" w:type="dxa"/>
            <w:vMerge w:val="restart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64"/>
        </w:trPr>
        <w:tc>
          <w:tcPr>
            <w:tcW w:w="9239" w:type="dxa"/>
            <w:tcBorders>
              <w:bottom w:val="single" w:sz="8" w:space="0" w:color="000000"/>
            </w:tcBorders>
          </w:tcPr>
          <w:p w:rsidR="00A140E8" w:rsidRPr="00A140E8" w:rsidRDefault="00A140E8" w:rsidP="00675FB2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Nie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ma zastosowania do programów pomocy, które nie wykluczają wyraźnie możliwości</w:t>
            </w:r>
            <w:r w:rsidR="00675FB2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675FB2" w:rsidRPr="00A140E8">
              <w:rPr>
                <w:rFonts w:ascii="Times New Roman" w:eastAsia="Times New Roman" w:hAnsi="Times New Roman" w:cs="Times New Roman"/>
                <w:lang w:val="pl-PL"/>
              </w:rPr>
              <w:t>wypłacenia</w:t>
            </w:r>
          </w:p>
        </w:tc>
        <w:tc>
          <w:tcPr>
            <w:tcW w:w="5117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</w:tbl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A140E8" w:rsidRPr="00A140E8" w:rsidRDefault="00A140E8" w:rsidP="00A140E8">
      <w:pPr>
        <w:spacing w:before="3" w:after="0" w:line="240" w:lineRule="auto"/>
        <w:rPr>
          <w:rFonts w:ascii="Times New Roman" w:eastAsia="Times New Roman" w:hAnsi="Times New Roman" w:cs="Times New Roman"/>
          <w:b/>
          <w:sz w:val="19"/>
          <w:szCs w:val="24"/>
          <w:lang w:eastAsia="pl-PL"/>
        </w:rPr>
      </w:pP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140E8" w:rsidRPr="00A140E8" w:rsidSect="001C5A26">
          <w:headerReference w:type="default" r:id="rId8"/>
          <w:pgSz w:w="15840" w:h="12240" w:orient="landscape"/>
          <w:pgMar w:top="1135" w:right="420" w:bottom="280" w:left="580" w:header="0" w:footer="0" w:gutter="0"/>
          <w:cols w:space="708"/>
          <w:docGrid w:linePitch="326"/>
        </w:sectPr>
      </w:pPr>
    </w:p>
    <w:tbl>
      <w:tblPr>
        <w:tblStyle w:val="TableNormal"/>
        <w:tblpPr w:leftFromText="141" w:rightFromText="141" w:vertAnchor="text" w:horzAnchor="margin" w:tblpY="-117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1"/>
        <w:gridCol w:w="5103"/>
      </w:tblGrid>
      <w:tr w:rsidR="00A140E8" w:rsidRPr="00A140E8" w:rsidTr="00A140E8">
        <w:trPr>
          <w:trHeight w:hRule="exact" w:val="862"/>
        </w:trPr>
        <w:tc>
          <w:tcPr>
            <w:tcW w:w="9351" w:type="dxa"/>
          </w:tcPr>
          <w:p w:rsidR="00A140E8" w:rsidRPr="00A140E8" w:rsidRDefault="00A140E8" w:rsidP="00A140E8">
            <w:pPr>
              <w:ind w:left="103" w:right="9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lastRenderedPageBreak/>
              <w:t xml:space="preserve">pomocy indywidualnej na rzecz przedsiębiorstwa, na którym ciąży obowiązek zwrotu pomocy wynikający z wcześniejszej decyzji Komisji uznającej pomoc za niezgodną z prawem/z rynkiem wewnętrznym, i </w:t>
            </w:r>
            <w:r w:rsidRPr="00A140E8">
              <w:rPr>
                <w:rFonts w:ascii="Times New Roman" w:eastAsia="Times New Roman" w:hAnsi="Times New Roman" w:cs="Times New Roman"/>
                <w:b/>
                <w:u w:val="thick"/>
                <w:lang w:val="pl-PL"/>
              </w:rPr>
              <w:t xml:space="preserve">nie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ma zastosowania do pomocy </w:t>
            </w:r>
            <w:r w:rsidRPr="00A140E8">
              <w:rPr>
                <w:rFonts w:ascii="Times New Roman" w:eastAsia="Times New Roman" w:hAnsi="Times New Roman" w:cs="Times New Roman"/>
                <w:i/>
                <w:lang w:val="pl-PL"/>
              </w:rPr>
              <w:t xml:space="preserve">ad hoc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dla takiego</w:t>
            </w:r>
            <w:r w:rsidRPr="00A140E8">
              <w:rPr>
                <w:rFonts w:ascii="Times New Roman" w:eastAsia="Times New Roman" w:hAnsi="Times New Roman" w:cs="Times New Roman"/>
                <w:spacing w:val="-1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przedsiębiorstwa.</w:t>
            </w:r>
          </w:p>
        </w:tc>
        <w:tc>
          <w:tcPr>
            <w:tcW w:w="5103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64"/>
        </w:trPr>
        <w:tc>
          <w:tcPr>
            <w:tcW w:w="9351" w:type="dxa"/>
            <w:shd w:val="clear" w:color="auto" w:fill="DADADA"/>
          </w:tcPr>
          <w:p w:rsidR="00A140E8" w:rsidRPr="00A140E8" w:rsidRDefault="00A140E8" w:rsidP="00A140E8">
            <w:pPr>
              <w:ind w:left="103" w:right="34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Artykuł 1 - Wykluczenie przedsiębiorstw znajdujących się w trudnej sytuacji (ust. 4)</w:t>
            </w:r>
          </w:p>
        </w:tc>
        <w:tc>
          <w:tcPr>
            <w:tcW w:w="5103" w:type="dxa"/>
            <w:vMerge w:val="restart"/>
            <w:tcBorders>
              <w:left w:val="single" w:sz="41" w:space="0" w:color="DADADA"/>
            </w:tcBorders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354"/>
        </w:trPr>
        <w:tc>
          <w:tcPr>
            <w:tcW w:w="9351" w:type="dxa"/>
          </w:tcPr>
          <w:p w:rsidR="00A140E8" w:rsidRPr="00A140E8" w:rsidRDefault="00A140E8" w:rsidP="00A140E8">
            <w:pPr>
              <w:spacing w:line="250" w:lineRule="exact"/>
              <w:ind w:left="103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u w:val="thick"/>
                <w:lang w:val="pl-PL"/>
              </w:rPr>
              <w:t xml:space="preserve">Nie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ma zastosowania do przedsiębiorstw znajdujących się w trudnej sytuacji.</w:t>
            </w:r>
          </w:p>
        </w:tc>
        <w:tc>
          <w:tcPr>
            <w:tcW w:w="5103" w:type="dxa"/>
            <w:vMerge/>
            <w:tcBorders>
              <w:left w:val="single" w:sz="41" w:space="0" w:color="DADADA"/>
            </w:tcBorders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63"/>
        </w:trPr>
        <w:tc>
          <w:tcPr>
            <w:tcW w:w="9351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Artykuł 1 - Wykluczenie środków pomocy naruszających prawo Unii (ust. 5)</w:t>
            </w:r>
          </w:p>
        </w:tc>
        <w:tc>
          <w:tcPr>
            <w:tcW w:w="5103" w:type="dxa"/>
            <w:vMerge w:val="restart"/>
            <w:tcBorders>
              <w:left w:val="single" w:sz="41" w:space="0" w:color="DADADA"/>
            </w:tcBorders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658"/>
        </w:trPr>
        <w:tc>
          <w:tcPr>
            <w:tcW w:w="9351" w:type="dxa"/>
          </w:tcPr>
          <w:p w:rsidR="00A140E8" w:rsidRPr="00A140E8" w:rsidRDefault="00A140E8" w:rsidP="00A140E8">
            <w:pPr>
              <w:ind w:left="103" w:right="659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Nie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ma zastosowania do środków pomocy państwa, które nierozerwalnie wiążą się z naruszeniem prawa Unii, w szczególności:</w:t>
            </w:r>
          </w:p>
          <w:p w:rsidR="00427789" w:rsidRDefault="00A140E8" w:rsidP="00427789">
            <w:pPr>
              <w:pStyle w:val="Akapitzlist"/>
              <w:numPr>
                <w:ilvl w:val="0"/>
                <w:numId w:val="29"/>
              </w:numPr>
              <w:tabs>
                <w:tab w:val="left" w:pos="454"/>
              </w:tabs>
              <w:ind w:left="137" w:right="99" w:firstLine="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675FB2">
              <w:rPr>
                <w:rFonts w:ascii="Times New Roman" w:eastAsia="Times New Roman" w:hAnsi="Times New Roman" w:cs="Times New Roman"/>
                <w:lang w:val="pl-PL"/>
              </w:rPr>
              <w:t>jeżeli przyznanie pomocy uwarunkowane jest obowiązkiem posiadania przez beneficjenta siedziby w danym państwie członkowskim lub prowadzeniem przez niego działalności w przeważającej mierze w danym państwie członkowskim. Dozwolony jest wymóg posiadania w momencie wypłaty pomocy zakładu lub oddziału w państwie członkowskim przyznającym</w:t>
            </w:r>
            <w:r w:rsidRPr="00675FB2">
              <w:rPr>
                <w:rFonts w:ascii="Times New Roman" w:eastAsia="Times New Roman" w:hAnsi="Times New Roman" w:cs="Times New Roman"/>
                <w:spacing w:val="-20"/>
                <w:lang w:val="pl-PL"/>
              </w:rPr>
              <w:t xml:space="preserve"> </w:t>
            </w:r>
            <w:r w:rsidRPr="00675FB2">
              <w:rPr>
                <w:rFonts w:ascii="Times New Roman" w:eastAsia="Times New Roman" w:hAnsi="Times New Roman" w:cs="Times New Roman"/>
                <w:lang w:val="pl-PL"/>
              </w:rPr>
              <w:t>pomoc;</w:t>
            </w:r>
          </w:p>
          <w:p w:rsidR="00427789" w:rsidRDefault="00A140E8" w:rsidP="00427789">
            <w:pPr>
              <w:pStyle w:val="Akapitzlist"/>
              <w:numPr>
                <w:ilvl w:val="0"/>
                <w:numId w:val="29"/>
              </w:numPr>
              <w:tabs>
                <w:tab w:val="left" w:pos="454"/>
              </w:tabs>
              <w:ind w:left="137" w:right="99" w:firstLine="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427789">
              <w:rPr>
                <w:rFonts w:ascii="Times New Roman" w:eastAsia="Times New Roman" w:hAnsi="Times New Roman" w:cs="Times New Roman"/>
                <w:lang w:val="pl-PL"/>
              </w:rPr>
              <w:t>jeśli przyznanie pomocy uwarunkowane jest obowiązkiem korzystania z towarów produkcji krajowej lub usług</w:t>
            </w:r>
            <w:r w:rsidRPr="00427789">
              <w:rPr>
                <w:rFonts w:ascii="Times New Roman" w:eastAsia="Times New Roman" w:hAnsi="Times New Roman" w:cs="Times New Roman"/>
                <w:spacing w:val="-18"/>
                <w:lang w:val="pl-PL"/>
              </w:rPr>
              <w:t xml:space="preserve"> </w:t>
            </w:r>
            <w:r w:rsidRPr="00427789">
              <w:rPr>
                <w:rFonts w:ascii="Times New Roman" w:eastAsia="Times New Roman" w:hAnsi="Times New Roman" w:cs="Times New Roman"/>
                <w:lang w:val="pl-PL"/>
              </w:rPr>
              <w:t>krajowych;</w:t>
            </w:r>
          </w:p>
          <w:p w:rsidR="00A140E8" w:rsidRPr="00427789" w:rsidRDefault="00A140E8" w:rsidP="00427789">
            <w:pPr>
              <w:pStyle w:val="Akapitzlist"/>
              <w:numPr>
                <w:ilvl w:val="0"/>
                <w:numId w:val="29"/>
              </w:numPr>
              <w:tabs>
                <w:tab w:val="left" w:pos="454"/>
              </w:tabs>
              <w:ind w:left="137" w:right="99" w:firstLine="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427789">
              <w:rPr>
                <w:rFonts w:ascii="Times New Roman" w:eastAsia="Times New Roman" w:hAnsi="Times New Roman" w:cs="Times New Roman"/>
                <w:lang w:val="pl-PL"/>
              </w:rPr>
              <w:t>do środków pomocy ograniczających możliwości beneficjentów w zakresie wykorzystania wyników działalności badawczej, rozwojowej i innowacyjnej w innych państwach</w:t>
            </w:r>
            <w:r w:rsidRPr="00427789">
              <w:rPr>
                <w:rFonts w:ascii="Times New Roman" w:eastAsia="Times New Roman" w:hAnsi="Times New Roman" w:cs="Times New Roman"/>
                <w:spacing w:val="-13"/>
                <w:lang w:val="pl-PL"/>
              </w:rPr>
              <w:t xml:space="preserve"> </w:t>
            </w:r>
            <w:r w:rsidRPr="00427789">
              <w:rPr>
                <w:rFonts w:ascii="Times New Roman" w:eastAsia="Times New Roman" w:hAnsi="Times New Roman" w:cs="Times New Roman"/>
                <w:lang w:val="pl-PL"/>
              </w:rPr>
              <w:t>członkowskich.</w:t>
            </w:r>
          </w:p>
        </w:tc>
        <w:tc>
          <w:tcPr>
            <w:tcW w:w="5103" w:type="dxa"/>
            <w:vMerge/>
            <w:tcBorders>
              <w:left w:val="single" w:sz="41" w:space="0" w:color="DADADA"/>
            </w:tcBorders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81"/>
        </w:trPr>
        <w:tc>
          <w:tcPr>
            <w:tcW w:w="9351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Artykuł 4 - Progi pomocy powodujące obowiązek zgłoszenia</w:t>
            </w:r>
          </w:p>
        </w:tc>
        <w:tc>
          <w:tcPr>
            <w:tcW w:w="5103" w:type="dxa"/>
            <w:shd w:val="clear" w:color="auto" w:fill="DADAD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1424"/>
        </w:trPr>
        <w:tc>
          <w:tcPr>
            <w:tcW w:w="9351" w:type="dxa"/>
          </w:tcPr>
          <w:p w:rsidR="00A140E8" w:rsidRPr="00A140E8" w:rsidRDefault="00A140E8" w:rsidP="00A140E8">
            <w:pPr>
              <w:spacing w:line="250" w:lineRule="exact"/>
              <w:ind w:left="103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Nie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ma zastosowania do pomocy przekraczającej następujące progi:</w:t>
            </w:r>
          </w:p>
          <w:p w:rsidR="00A140E8" w:rsidRPr="00A140E8" w:rsidRDefault="00A140E8" w:rsidP="00A140E8">
            <w:pPr>
              <w:numPr>
                <w:ilvl w:val="0"/>
                <w:numId w:val="22"/>
              </w:numPr>
              <w:tabs>
                <w:tab w:val="left" w:pos="464"/>
              </w:tabs>
              <w:ind w:right="97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 inwestycyjna na infrastrukturę sportową i wielofunkcyjną: 15 mln EUR lub jeżeli łączne koszty przekraczają 50 mln EUR na projekt; pomoc operacyjna na infrastrukturę sportową: 2 mln EUR na infrastrukturę</w:t>
            </w:r>
            <w:r w:rsidRPr="00A140E8">
              <w:rPr>
                <w:rFonts w:ascii="Times New Roman" w:eastAsia="Times New Roman" w:hAnsi="Times New Roman" w:cs="Times New Roman"/>
                <w:spacing w:val="-2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rocznie.</w:t>
            </w:r>
          </w:p>
          <w:p w:rsidR="00A140E8" w:rsidRPr="00A140E8" w:rsidRDefault="00A140E8" w:rsidP="00A140E8">
            <w:pPr>
              <w:ind w:left="103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Nie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należy obchodzić progów poprzez sztuczne dzielenie programów pomocy lub projektów pomocy.</w:t>
            </w:r>
          </w:p>
        </w:tc>
        <w:tc>
          <w:tcPr>
            <w:tcW w:w="5103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353"/>
        </w:trPr>
        <w:tc>
          <w:tcPr>
            <w:tcW w:w="9351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Artykuł 5 - Przejrzystość pomocy</w:t>
            </w:r>
          </w:p>
        </w:tc>
        <w:tc>
          <w:tcPr>
            <w:tcW w:w="5103" w:type="dxa"/>
            <w:shd w:val="clear" w:color="auto" w:fill="DADAD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1055"/>
        </w:trPr>
        <w:tc>
          <w:tcPr>
            <w:tcW w:w="9351" w:type="dx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Ma zastosowanie tylko do pomocy przejrzystej. Za pomoc przejrzystą uznaje się:</w:t>
            </w:r>
          </w:p>
          <w:p w:rsidR="00A140E8" w:rsidRPr="00A140E8" w:rsidRDefault="00A140E8" w:rsidP="00A140E8">
            <w:pPr>
              <w:numPr>
                <w:ilvl w:val="0"/>
                <w:numId w:val="21"/>
              </w:numPr>
              <w:tabs>
                <w:tab w:val="left" w:pos="431"/>
              </w:tabs>
              <w:spacing w:line="269" w:lineRule="exact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dotacje oraz dotacje na spłatę</w:t>
            </w:r>
            <w:r w:rsidRPr="00A140E8">
              <w:rPr>
                <w:rFonts w:ascii="Times New Roman" w:eastAsia="Times New Roman" w:hAnsi="Times New Roman" w:cs="Times New Roman"/>
                <w:spacing w:val="-2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odsetek;</w:t>
            </w:r>
          </w:p>
          <w:p w:rsidR="00A140E8" w:rsidRPr="00A140E8" w:rsidRDefault="00A140E8" w:rsidP="00A140E8">
            <w:pPr>
              <w:numPr>
                <w:ilvl w:val="0"/>
                <w:numId w:val="21"/>
              </w:numPr>
              <w:tabs>
                <w:tab w:val="left" w:pos="431"/>
              </w:tabs>
              <w:ind w:right="102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pożyczki (gdzie ekwiwalent dotacji brutto oblicza się na podstawie stopy referencyjnej obowiązującej w dniu przyznania</w:t>
            </w:r>
            <w:r w:rsidRPr="00A140E8">
              <w:rPr>
                <w:rFonts w:ascii="Times New Roman" w:eastAsia="Times New Roman" w:hAnsi="Times New Roman" w:cs="Times New Roman"/>
                <w:spacing w:val="-2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pomocy);</w:t>
            </w:r>
          </w:p>
        </w:tc>
        <w:tc>
          <w:tcPr>
            <w:tcW w:w="5103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</w:tbl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9"/>
        <w:gridCol w:w="4961"/>
      </w:tblGrid>
      <w:tr w:rsidR="00A140E8" w:rsidRPr="00A140E8" w:rsidTr="00A140E8">
        <w:trPr>
          <w:trHeight w:hRule="exact" w:val="3599"/>
        </w:trPr>
        <w:tc>
          <w:tcPr>
            <w:tcW w:w="9239" w:type="dxa"/>
          </w:tcPr>
          <w:p w:rsidR="00A140E8" w:rsidRPr="00A140E8" w:rsidRDefault="00A140E8" w:rsidP="00A140E8">
            <w:pPr>
              <w:numPr>
                <w:ilvl w:val="0"/>
                <w:numId w:val="20"/>
              </w:numPr>
              <w:tabs>
                <w:tab w:val="left" w:pos="431"/>
              </w:tabs>
              <w:spacing w:line="266" w:lineRule="exact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lastRenderedPageBreak/>
              <w:t>gwarancje</w:t>
            </w:r>
          </w:p>
          <w:p w:rsidR="00A140E8" w:rsidRPr="00A140E8" w:rsidRDefault="00A140E8" w:rsidP="00A140E8">
            <w:pPr>
              <w:ind w:left="430" w:right="1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(ekwiwalent dotacji brutto obliczony na podstawie bezpiecznych stawek określonych w obwieszczeniu</w:t>
            </w:r>
            <w:r w:rsidRPr="00A140E8">
              <w:rPr>
                <w:rFonts w:ascii="Times New Roman" w:eastAsia="Times New Roman" w:hAnsi="Times New Roman" w:cs="Times New Roman"/>
                <w:spacing w:val="-1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Komisji</w:t>
            </w:r>
          </w:p>
          <w:p w:rsidR="00A140E8" w:rsidRPr="00A140E8" w:rsidRDefault="00A140E8" w:rsidP="00A140E8">
            <w:pPr>
              <w:ind w:left="148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lub</w:t>
            </w:r>
          </w:p>
          <w:p w:rsidR="00A140E8" w:rsidRPr="00A140E8" w:rsidRDefault="00A140E8" w:rsidP="00A140E8">
            <w:pPr>
              <w:ind w:left="430" w:right="9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ekwiwalent dotacji brutto zatwierdzony przed wprowadzeniem środka na podstawie obwieszczenia Komisji w sprawie gwarancji, a przyjęta metoda obliczania wyraźnie odnosi się do przedmiotowego rodzaju gwarancji i rodzaju transakcji bazowej w kontekście stosowania ogólnego rozporządzenia w sprawie wyłączeń blokowych);</w:t>
            </w:r>
          </w:p>
          <w:p w:rsidR="00A140E8" w:rsidRPr="00A140E8" w:rsidRDefault="00A140E8" w:rsidP="00A140E8">
            <w:pPr>
              <w:numPr>
                <w:ilvl w:val="0"/>
                <w:numId w:val="20"/>
              </w:numPr>
              <w:tabs>
                <w:tab w:val="left" w:pos="431"/>
              </w:tabs>
              <w:ind w:right="1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korzyści podatkowe (gdzie przewidziano pułap zapobiegający przekroczeniu obowiązującego</w:t>
            </w:r>
            <w:r w:rsidRPr="00A140E8">
              <w:rPr>
                <w:rFonts w:ascii="Times New Roman" w:eastAsia="Times New Roman" w:hAnsi="Times New Roman" w:cs="Times New Roman"/>
                <w:spacing w:val="-1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progu);</w:t>
            </w:r>
          </w:p>
          <w:p w:rsidR="00A140E8" w:rsidRPr="00A140E8" w:rsidRDefault="00A140E8" w:rsidP="00A140E8">
            <w:pPr>
              <w:numPr>
                <w:ilvl w:val="0"/>
                <w:numId w:val="20"/>
              </w:numPr>
              <w:tabs>
                <w:tab w:val="left" w:pos="431"/>
              </w:tabs>
              <w:ind w:right="97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zaliczki zwrotne (jeżeli łączna nominalna kwota zaliczek zwrotnych nie przekracza progów obowiązujących na mocy tego rozporządzenia lub jeżeli metoda obliczania ekwiwalentu dotacji brutto zaliczki zwrotnej została — po zgłoszeniu jej Komisji — zaakceptowana przed wprowadzeniem</w:t>
            </w:r>
            <w:r w:rsidRPr="00A140E8">
              <w:rPr>
                <w:rFonts w:ascii="Times New Roman" w:eastAsia="Times New Roman" w:hAnsi="Times New Roman" w:cs="Times New Roman"/>
                <w:spacing w:val="-2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środka).</w:t>
            </w:r>
          </w:p>
        </w:tc>
        <w:tc>
          <w:tcPr>
            <w:tcW w:w="4961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81"/>
        </w:trPr>
        <w:tc>
          <w:tcPr>
            <w:tcW w:w="9239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Artykuł 6 - Efekt zachęty</w:t>
            </w:r>
          </w:p>
        </w:tc>
        <w:tc>
          <w:tcPr>
            <w:tcW w:w="4961" w:type="dxa"/>
            <w:shd w:val="clear" w:color="auto" w:fill="DADAD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4198"/>
        </w:trPr>
        <w:tc>
          <w:tcPr>
            <w:tcW w:w="9239" w:type="dxa"/>
          </w:tcPr>
          <w:p w:rsidR="00A140E8" w:rsidRPr="00A140E8" w:rsidRDefault="00A140E8" w:rsidP="00A140E8">
            <w:pPr>
              <w:spacing w:line="251" w:lineRule="exact"/>
              <w:ind w:left="103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 wywołująca efekt zachęty może być objęta wyłączeniem jedynie wówczas, gdy:</w:t>
            </w:r>
          </w:p>
          <w:p w:rsidR="00A140E8" w:rsidRPr="00A140E8" w:rsidRDefault="00A140E8" w:rsidP="00A140E8">
            <w:pPr>
              <w:numPr>
                <w:ilvl w:val="0"/>
                <w:numId w:val="19"/>
              </w:numPr>
              <w:tabs>
                <w:tab w:val="left" w:pos="463"/>
                <w:tab w:val="left" w:pos="464"/>
              </w:tabs>
              <w:ind w:right="189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Beneficjent złożył do danego państwa członkowskiego wniosek o przyznanie pomocy przed rozpoczęciem prac lub działalności, zawierający co najmniej następujące informacje:</w:t>
            </w:r>
          </w:p>
          <w:p w:rsidR="00A140E8" w:rsidRPr="00A140E8" w:rsidRDefault="00A140E8" w:rsidP="00A140E8">
            <w:pPr>
              <w:numPr>
                <w:ilvl w:val="1"/>
                <w:numId w:val="19"/>
              </w:numPr>
              <w:tabs>
                <w:tab w:val="left" w:pos="824"/>
              </w:tabs>
              <w:ind w:hanging="359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nazwę przedsiębiorstwa i informację o jego</w:t>
            </w:r>
            <w:r w:rsidRPr="00A140E8">
              <w:rPr>
                <w:rFonts w:ascii="Times New Roman" w:eastAsia="Times New Roman" w:hAnsi="Times New Roman" w:cs="Times New Roman"/>
                <w:spacing w:val="-27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wielkości;</w:t>
            </w:r>
          </w:p>
          <w:p w:rsidR="00A140E8" w:rsidRPr="00A140E8" w:rsidRDefault="00A140E8" w:rsidP="00A140E8">
            <w:pPr>
              <w:numPr>
                <w:ilvl w:val="1"/>
                <w:numId w:val="19"/>
              </w:numPr>
              <w:tabs>
                <w:tab w:val="left" w:pos="823"/>
              </w:tabs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opis projektu, w tym daty jego rozpoczęcia i</w:t>
            </w:r>
            <w:r w:rsidRPr="00A140E8">
              <w:rPr>
                <w:rFonts w:ascii="Times New Roman" w:eastAsia="Times New Roman" w:hAnsi="Times New Roman" w:cs="Times New Roman"/>
                <w:spacing w:val="-31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zakończenia;</w:t>
            </w:r>
          </w:p>
          <w:p w:rsidR="00A140E8" w:rsidRPr="00A140E8" w:rsidRDefault="00A140E8" w:rsidP="00A140E8">
            <w:pPr>
              <w:numPr>
                <w:ilvl w:val="1"/>
                <w:numId w:val="19"/>
              </w:numPr>
              <w:tabs>
                <w:tab w:val="left" w:pos="823"/>
              </w:tabs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lokalizację</w:t>
            </w:r>
            <w:r w:rsidRPr="00A140E8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</w:rPr>
              <w:t>projektu;</w:t>
            </w:r>
          </w:p>
          <w:p w:rsidR="00A140E8" w:rsidRPr="00A140E8" w:rsidRDefault="00A140E8" w:rsidP="00A140E8">
            <w:pPr>
              <w:numPr>
                <w:ilvl w:val="1"/>
                <w:numId w:val="19"/>
              </w:numPr>
              <w:tabs>
                <w:tab w:val="left" w:pos="823"/>
              </w:tabs>
              <w:spacing w:line="253" w:lineRule="exact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wykaz kosztów</w:t>
            </w:r>
            <w:r w:rsidRPr="00A140E8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</w:rPr>
              <w:t>projektu;</w:t>
            </w:r>
          </w:p>
          <w:p w:rsidR="00A140E8" w:rsidRPr="00A140E8" w:rsidRDefault="00A140E8" w:rsidP="00A140E8">
            <w:pPr>
              <w:numPr>
                <w:ilvl w:val="1"/>
                <w:numId w:val="19"/>
              </w:numPr>
              <w:tabs>
                <w:tab w:val="left" w:pos="823"/>
              </w:tabs>
              <w:ind w:right="9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rodzaj pomocy (dotacja, pożyczka, gwarancja, zaliczka zwrotna, zastrzyk kapitałowy lub inne) oraz kwota finansowania publicznego, potrzebnego do realizacji</w:t>
            </w:r>
            <w:r w:rsidRPr="00A140E8">
              <w:rPr>
                <w:rFonts w:ascii="Times New Roman" w:eastAsia="Times New Roman" w:hAnsi="Times New Roman" w:cs="Times New Roman"/>
                <w:spacing w:val="-8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projektu.</w:t>
            </w:r>
          </w:p>
          <w:p w:rsidR="00A140E8" w:rsidRPr="00A140E8" w:rsidRDefault="00A140E8" w:rsidP="00A140E8">
            <w:pPr>
              <w:numPr>
                <w:ilvl w:val="0"/>
                <w:numId w:val="19"/>
              </w:numPr>
              <w:tabs>
                <w:tab w:val="left" w:pos="463"/>
              </w:tabs>
              <w:ind w:left="462" w:right="101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 ad hoc na rzecz dużych przedsiębiorstw: oprócz powyższego, państwo członkowskie przed przyznaniem pomocy sprawdziło, że beneficjent dostarczył dokumentację wykazującą, że pomoc przyniesie jeden lub więcej z poniższych efektów:</w:t>
            </w:r>
          </w:p>
          <w:p w:rsidR="00A140E8" w:rsidRDefault="00A140E8" w:rsidP="00A140E8">
            <w:pPr>
              <w:numPr>
                <w:ilvl w:val="0"/>
                <w:numId w:val="18"/>
              </w:numPr>
              <w:tabs>
                <w:tab w:val="left" w:pos="823"/>
                <w:tab w:val="left" w:pos="824"/>
              </w:tabs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znaczące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zwiększenie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zasięgu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projektu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lub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działania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dzięki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środkowi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pomocy,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lub</w:t>
            </w:r>
          </w:p>
          <w:p w:rsidR="00A140E8" w:rsidRPr="00A140E8" w:rsidRDefault="00A140E8" w:rsidP="00A140E8">
            <w:pPr>
              <w:numPr>
                <w:ilvl w:val="0"/>
                <w:numId w:val="18"/>
              </w:numPr>
              <w:tabs>
                <w:tab w:val="left" w:pos="823"/>
                <w:tab w:val="left" w:pos="824"/>
              </w:tabs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znaczące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zwiększenie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całkowitej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kwoty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wydanej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przez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beneficjenta</w:t>
            </w:r>
            <w:r w:rsidRPr="00A140E8">
              <w:rPr>
                <w:rFonts w:ascii="Times New Roman" w:eastAsia="Times New Roman" w:hAnsi="Times New Roman" w:cs="Times New Roman"/>
                <w:spacing w:val="-4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na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projekt</w:t>
            </w:r>
            <w:r w:rsidRPr="00A140E8">
              <w:rPr>
                <w:rFonts w:ascii="Times New Roman" w:eastAsia="Times New Roman" w:hAnsi="Times New Roman" w:cs="Times New Roman"/>
                <w:spacing w:val="-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lub działanie dzięki środkowi pomocy, lub</w:t>
            </w:r>
          </w:p>
          <w:p w:rsidR="00A140E8" w:rsidRPr="00A140E8" w:rsidRDefault="00A140E8" w:rsidP="00A140E8">
            <w:pPr>
              <w:numPr>
                <w:ilvl w:val="0"/>
                <w:numId w:val="18"/>
              </w:numPr>
              <w:tabs>
                <w:tab w:val="left" w:pos="823"/>
                <w:tab w:val="left" w:pos="824"/>
              </w:tabs>
              <w:ind w:hanging="32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znaczące przyspieszenie zakończenia projektu lub</w:t>
            </w:r>
            <w:r w:rsidRPr="00A140E8">
              <w:rPr>
                <w:rFonts w:ascii="Times New Roman" w:eastAsia="Times New Roman" w:hAnsi="Times New Roman" w:cs="Times New Roman"/>
                <w:spacing w:val="-3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działania.</w:t>
            </w:r>
          </w:p>
        </w:tc>
        <w:tc>
          <w:tcPr>
            <w:tcW w:w="4961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</w:tbl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140E8" w:rsidRPr="00A140E8">
          <w:footerReference w:type="default" r:id="rId9"/>
          <w:pgSz w:w="15840" w:h="12240" w:orient="landscape"/>
          <w:pgMar w:top="2200" w:right="420" w:bottom="940" w:left="580" w:header="735" w:footer="756" w:gutter="0"/>
          <w:cols w:space="708"/>
        </w:sectPr>
      </w:pPr>
    </w:p>
    <w:tbl>
      <w:tblPr>
        <w:tblStyle w:val="TableNormal"/>
        <w:tblpPr w:leftFromText="141" w:rightFromText="141" w:horzAnchor="margin" w:tblpY="-9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1"/>
        <w:gridCol w:w="4945"/>
      </w:tblGrid>
      <w:tr w:rsidR="00A140E8" w:rsidRPr="00A140E8" w:rsidTr="00A140E8">
        <w:trPr>
          <w:trHeight w:hRule="exact" w:val="1849"/>
        </w:trPr>
        <w:tc>
          <w:tcPr>
            <w:tcW w:w="9351" w:type="dxa"/>
          </w:tcPr>
          <w:p w:rsidR="00A140E8" w:rsidRPr="00A140E8" w:rsidRDefault="00A140E8" w:rsidP="00A140E8">
            <w:pPr>
              <w:spacing w:before="1" w:line="252" w:lineRule="exact"/>
              <w:ind w:left="499" w:right="34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Wingdings" w:eastAsia="Times New Roman" w:hAnsi="Wingdings" w:cs="Times New Roman"/>
              </w:rPr>
              <w:lastRenderedPageBreak/>
              <w:t></w:t>
            </w:r>
            <w:r w:rsidRPr="00A140E8">
              <w:rPr>
                <w:rFonts w:ascii="Times New Roman" w:eastAsia="Times New Roman" w:hAnsi="Times New Roman" w:cs="Times New Roman"/>
                <w:b/>
              </w:rPr>
              <w:t>Wyjątki</w:t>
            </w:r>
          </w:p>
          <w:p w:rsidR="00A140E8" w:rsidRPr="00A140E8" w:rsidRDefault="00A140E8" w:rsidP="00A140E8">
            <w:pPr>
              <w:numPr>
                <w:ilvl w:val="0"/>
                <w:numId w:val="17"/>
              </w:numPr>
              <w:tabs>
                <w:tab w:val="left" w:pos="462"/>
                <w:tab w:val="left" w:pos="463"/>
              </w:tabs>
              <w:spacing w:line="269" w:lineRule="exact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Korzyści podatkowe</w:t>
            </w:r>
            <w:r w:rsidRPr="00A140E8"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</w:rPr>
              <w:t>jeśli:</w:t>
            </w:r>
          </w:p>
          <w:p w:rsidR="00A140E8" w:rsidRPr="00A140E8" w:rsidRDefault="00A140E8" w:rsidP="00A140E8">
            <w:pPr>
              <w:numPr>
                <w:ilvl w:val="1"/>
                <w:numId w:val="17"/>
              </w:numPr>
              <w:tabs>
                <w:tab w:val="left" w:pos="824"/>
              </w:tabs>
              <w:ind w:right="102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środek ustanawia prawo do uzyskania pomocy zgodnie z obiektywnymi  kryteriami i bez dalszej ingerencji ze strony państwa członkowskiego;</w:t>
            </w:r>
            <w:r w:rsidRPr="00A140E8">
              <w:rPr>
                <w:rFonts w:ascii="Times New Roman" w:eastAsia="Times New Roman" w:hAnsi="Times New Roman" w:cs="Times New Roman"/>
                <w:spacing w:val="-37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oraz</w:t>
            </w:r>
          </w:p>
          <w:p w:rsidR="00A140E8" w:rsidRPr="00A140E8" w:rsidRDefault="00A140E8" w:rsidP="00A140E8">
            <w:pPr>
              <w:numPr>
                <w:ilvl w:val="1"/>
                <w:numId w:val="17"/>
              </w:numPr>
              <w:tabs>
                <w:tab w:val="left" w:pos="824"/>
              </w:tabs>
              <w:ind w:right="1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środek został przyjęty i obowiązuje przed przystąpieniem do realizacji projektu  lub działania objętego pomocą, z wyjątkiem kolejnych wersji programów pomocy fiskalnej, jeśli dane działanie było już objęte poprzednimi programami w formie korzyści</w:t>
            </w:r>
            <w:r w:rsidRPr="00A140E8">
              <w:rPr>
                <w:rFonts w:ascii="Times New Roman" w:eastAsia="Times New Roman" w:hAnsi="Times New Roman" w:cs="Times New Roman"/>
                <w:spacing w:val="-11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podatkowych.</w:t>
            </w:r>
          </w:p>
        </w:tc>
        <w:tc>
          <w:tcPr>
            <w:tcW w:w="4945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354"/>
        </w:trPr>
        <w:tc>
          <w:tcPr>
            <w:tcW w:w="9351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Artykuł 7 - Koszty kwalifikowalne</w:t>
            </w:r>
          </w:p>
        </w:tc>
        <w:tc>
          <w:tcPr>
            <w:tcW w:w="4945" w:type="dxa"/>
            <w:shd w:val="clear" w:color="auto" w:fill="DADAD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4474"/>
        </w:trPr>
        <w:tc>
          <w:tcPr>
            <w:tcW w:w="9351" w:type="dxa"/>
          </w:tcPr>
          <w:p w:rsidR="00A140E8" w:rsidRPr="00A140E8" w:rsidRDefault="00A140E8" w:rsidP="00A140E8">
            <w:pPr>
              <w:spacing w:line="250" w:lineRule="exact"/>
              <w:ind w:left="103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Do celów obliczania intensywności pomocy:</w:t>
            </w:r>
          </w:p>
          <w:p w:rsidR="00A140E8" w:rsidRPr="00A140E8" w:rsidRDefault="00A140E8" w:rsidP="00A140E8">
            <w:pPr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spacing w:line="269" w:lineRule="exact"/>
              <w:ind w:hanging="359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stosuje się kwoty przed potrąceniem podatku lub innych</w:t>
            </w:r>
            <w:r w:rsidRPr="00A140E8">
              <w:rPr>
                <w:rFonts w:ascii="Times New Roman" w:eastAsia="Times New Roman" w:hAnsi="Times New Roman" w:cs="Times New Roman"/>
                <w:spacing w:val="-31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opłat;</w:t>
            </w:r>
          </w:p>
          <w:p w:rsidR="00A140E8" w:rsidRPr="00A140E8" w:rsidRDefault="00A140E8" w:rsidP="00A140E8">
            <w:pPr>
              <w:numPr>
                <w:ilvl w:val="0"/>
                <w:numId w:val="16"/>
              </w:numPr>
              <w:tabs>
                <w:tab w:val="left" w:pos="463"/>
              </w:tabs>
              <w:ind w:right="103" w:hanging="35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w przypadku pomocy przyznawanej w formie innej niż dotacja, kwotę pomocy  stanowi ekwiwalent dotacji brutto</w:t>
            </w:r>
            <w:r w:rsidRPr="00A140E8">
              <w:rPr>
                <w:rFonts w:ascii="Times New Roman" w:eastAsia="Times New Roman" w:hAnsi="Times New Roman" w:cs="Times New Roman"/>
                <w:spacing w:val="-21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pomocy;</w:t>
            </w:r>
          </w:p>
          <w:p w:rsidR="00A140E8" w:rsidRPr="00A140E8" w:rsidRDefault="00A140E8" w:rsidP="00A140E8">
            <w:pPr>
              <w:numPr>
                <w:ilvl w:val="0"/>
                <w:numId w:val="16"/>
              </w:numPr>
              <w:tabs>
                <w:tab w:val="left" w:pos="463"/>
              </w:tabs>
              <w:ind w:right="101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 wypłacana w kilku ratach jest dyskontowana do wartości w momencie jej przyznania (podobnie w przypadku kosztów kwalifikowalnych i przy zastosowaniu stopy procentowej obowiązującej w momencie przyznania</w:t>
            </w:r>
            <w:r w:rsidRPr="00A140E8">
              <w:rPr>
                <w:rFonts w:ascii="Times New Roman" w:eastAsia="Times New Roman" w:hAnsi="Times New Roman" w:cs="Times New Roman"/>
                <w:spacing w:val="-33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pomocy);</w:t>
            </w:r>
          </w:p>
          <w:p w:rsidR="00A140E8" w:rsidRPr="00A140E8" w:rsidRDefault="00A140E8" w:rsidP="00A140E8">
            <w:pPr>
              <w:numPr>
                <w:ilvl w:val="0"/>
                <w:numId w:val="16"/>
              </w:numPr>
              <w:tabs>
                <w:tab w:val="left" w:pos="463"/>
              </w:tabs>
              <w:ind w:right="102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raty pomocy w formie korzyści podatkowych są dyskontowane na podstawie stóp dyskontowych obowiązujących w momencie realizacji korzyści</w:t>
            </w:r>
            <w:r w:rsidRPr="00A140E8">
              <w:rPr>
                <w:rFonts w:ascii="Times New Roman" w:eastAsia="Times New Roman" w:hAnsi="Times New Roman" w:cs="Times New Roman"/>
                <w:spacing w:val="-39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podatkowej;</w:t>
            </w:r>
          </w:p>
          <w:p w:rsidR="00A140E8" w:rsidRPr="00A140E8" w:rsidRDefault="00A140E8" w:rsidP="00A140E8">
            <w:pPr>
              <w:numPr>
                <w:ilvl w:val="0"/>
                <w:numId w:val="16"/>
              </w:numPr>
              <w:tabs>
                <w:tab w:val="left" w:pos="464"/>
              </w:tabs>
              <w:ind w:left="463" w:right="98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 w formie zaliczek zwrotnych, które — przy braku przyjętej metody obliczania ekwiwalentu dotacji brutto — są wyrażone jako odsetek kosztów kwalifikowalnych, a środek przewiduje, że w przypadku pomyślnego wyniku projektu, na podstawie rozsądnej i ostrożnej hipotezy, zaliczki zostaną spłacone przy zastosowaniu stopy procentowej co najmniej równej stopie dyskontowej obowiązującej w momencie przyznania pomocy, to maksymalne poziomy intensywności pomocy można  zwiększyć o 10 punktów</w:t>
            </w:r>
            <w:r w:rsidRPr="00A140E8">
              <w:rPr>
                <w:rFonts w:ascii="Times New Roman" w:eastAsia="Times New Roman" w:hAnsi="Times New Roman" w:cs="Times New Roman"/>
                <w:spacing w:val="-19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procentowych.</w:t>
            </w:r>
          </w:p>
          <w:p w:rsidR="00A140E8" w:rsidRPr="00A140E8" w:rsidRDefault="00A140E8" w:rsidP="00A140E8">
            <w:pPr>
              <w:ind w:left="103" w:right="34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Koszty kwalifikowalne i dokumentacja</w:t>
            </w:r>
          </w:p>
          <w:p w:rsidR="00A140E8" w:rsidRPr="00A140E8" w:rsidRDefault="00A140E8" w:rsidP="00A140E8">
            <w:pPr>
              <w:numPr>
                <w:ilvl w:val="0"/>
                <w:numId w:val="16"/>
              </w:numPr>
              <w:tabs>
                <w:tab w:val="left" w:pos="463"/>
                <w:tab w:val="left" w:pos="464"/>
              </w:tabs>
              <w:ind w:left="463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koszty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kwalifikowalne</w:t>
            </w:r>
            <w:r w:rsidRPr="00A140E8">
              <w:rPr>
                <w:rFonts w:ascii="Times New Roman" w:eastAsia="Times New Roman" w:hAnsi="Times New Roman" w:cs="Times New Roman"/>
                <w:spacing w:val="-7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poparte</w:t>
            </w:r>
            <w:r w:rsidRPr="00A140E8">
              <w:rPr>
                <w:rFonts w:ascii="Times New Roman" w:eastAsia="Times New Roman" w:hAnsi="Times New Roman" w:cs="Times New Roman"/>
                <w:spacing w:val="-7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jasną,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szczegółową</w:t>
            </w:r>
            <w:r w:rsidRPr="00A140E8">
              <w:rPr>
                <w:rFonts w:ascii="Times New Roman" w:eastAsia="Times New Roman" w:hAnsi="Times New Roman" w:cs="Times New Roman"/>
                <w:spacing w:val="-7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i</w:t>
            </w:r>
            <w:r w:rsidRPr="00A140E8">
              <w:rPr>
                <w:rFonts w:ascii="Times New Roman" w:eastAsia="Times New Roman" w:hAnsi="Times New Roman" w:cs="Times New Roman"/>
                <w:spacing w:val="-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aktualną</w:t>
            </w:r>
            <w:r w:rsidRPr="00A140E8">
              <w:rPr>
                <w:rFonts w:ascii="Times New Roman" w:eastAsia="Times New Roman" w:hAnsi="Times New Roman" w:cs="Times New Roman"/>
                <w:spacing w:val="-7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dokumentacją.</w:t>
            </w:r>
          </w:p>
        </w:tc>
        <w:tc>
          <w:tcPr>
            <w:tcW w:w="4945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81"/>
        </w:trPr>
        <w:tc>
          <w:tcPr>
            <w:tcW w:w="9351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Artykuł 8 - Kumulacja</w:t>
            </w:r>
          </w:p>
        </w:tc>
        <w:tc>
          <w:tcPr>
            <w:tcW w:w="4945" w:type="dxa"/>
            <w:shd w:val="clear" w:color="auto" w:fill="DADAD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427789">
        <w:trPr>
          <w:trHeight w:hRule="exact" w:val="843"/>
        </w:trPr>
        <w:tc>
          <w:tcPr>
            <w:tcW w:w="9351" w:type="dxa"/>
          </w:tcPr>
          <w:p w:rsidR="00A140E8" w:rsidRPr="00A140E8" w:rsidRDefault="00A140E8" w:rsidP="00A140E8">
            <w:pPr>
              <w:pStyle w:val="Akapitzlist"/>
              <w:numPr>
                <w:ilvl w:val="0"/>
                <w:numId w:val="27"/>
              </w:numPr>
              <w:spacing w:line="273" w:lineRule="exact"/>
              <w:ind w:left="421" w:right="34" w:hanging="284"/>
              <w:rPr>
                <w:rFonts w:ascii="Times New Roman" w:eastAsia="Times New Roman" w:hAnsi="Times New Roman" w:cs="Times New Roman"/>
                <w:sz w:val="24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sz w:val="24"/>
                <w:lang w:val="pl-PL"/>
              </w:rPr>
              <w:t>W</w:t>
            </w:r>
            <w:r w:rsidRPr="00A140E8">
              <w:rPr>
                <w:rFonts w:ascii="Times New Roman" w:eastAsia="Times New Roman" w:hAnsi="Times New Roman" w:cs="Times New Roman"/>
                <w:sz w:val="24"/>
                <w:lang w:val="pl-PL"/>
              </w:rPr>
              <w:tab/>
              <w:t>przypadku</w:t>
            </w:r>
            <w:r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sz w:val="24"/>
                <w:lang w:val="pl-PL"/>
              </w:rPr>
              <w:t>progów</w:t>
            </w:r>
            <w:r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sz w:val="24"/>
                <w:lang w:val="pl-PL"/>
              </w:rPr>
              <w:t>po</w:t>
            </w:r>
            <w:r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wodujących obowiązek zgłoszenia </w:t>
            </w:r>
            <w:r w:rsidRPr="00A140E8"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oraz </w:t>
            </w:r>
            <w:r>
              <w:rPr>
                <w:rFonts w:ascii="Times New Roman" w:eastAsia="Times New Roman" w:hAnsi="Times New Roman" w:cs="Times New Roman"/>
                <w:sz w:val="24"/>
                <w:lang w:val="pl-PL"/>
              </w:rPr>
              <w:t>m</w:t>
            </w:r>
            <w:r w:rsidRPr="00A140E8">
              <w:rPr>
                <w:rFonts w:ascii="Times New Roman" w:eastAsia="Times New Roman" w:hAnsi="Times New Roman" w:cs="Times New Roman"/>
                <w:sz w:val="24"/>
                <w:lang w:val="pl-PL"/>
              </w:rPr>
              <w:t xml:space="preserve">aksymalnych progów intensywności pomocy uwzględnia się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całkowitą</w:t>
            </w:r>
            <w:r w:rsidRPr="00A140E8">
              <w:rPr>
                <w:rFonts w:ascii="Times New Roman" w:eastAsia="Times New Roman" w:hAnsi="Times New Roman" w:cs="Times New Roman"/>
                <w:b/>
                <w:spacing w:val="52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kwotę </w:t>
            </w:r>
            <w:r w:rsidRPr="00A140E8">
              <w:rPr>
                <w:rFonts w:ascii="Times New Roman" w:eastAsia="Times New Roman" w:hAnsi="Times New Roman" w:cs="Times New Roman"/>
                <w:sz w:val="24"/>
                <w:lang w:val="pl-PL"/>
              </w:rPr>
              <w:t>pomocy państwa (ust. 1).</w:t>
            </w:r>
          </w:p>
        </w:tc>
        <w:tc>
          <w:tcPr>
            <w:tcW w:w="4945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</w:tbl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leNormal"/>
        <w:tblpPr w:leftFromText="141" w:rightFromText="141" w:vertAnchor="page" w:horzAnchor="margin" w:tblpY="24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1"/>
        <w:gridCol w:w="4961"/>
      </w:tblGrid>
      <w:tr w:rsidR="00A140E8" w:rsidRPr="00A140E8" w:rsidTr="00A140E8">
        <w:trPr>
          <w:trHeight w:hRule="exact" w:val="4976"/>
        </w:trPr>
        <w:tc>
          <w:tcPr>
            <w:tcW w:w="9351" w:type="dxa"/>
          </w:tcPr>
          <w:p w:rsidR="00A140E8" w:rsidRPr="00A140E8" w:rsidRDefault="00A140E8" w:rsidP="00A140E8">
            <w:pPr>
              <w:numPr>
                <w:ilvl w:val="0"/>
                <w:numId w:val="14"/>
              </w:numPr>
              <w:tabs>
                <w:tab w:val="left" w:pos="464"/>
              </w:tabs>
              <w:ind w:right="98" w:hanging="35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lastRenderedPageBreak/>
              <w:t xml:space="preserve">Jeżeli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finansowanie Unii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(nie pod kontrolą państwa członkowskiego) jest połączone z pomocą państwa, do określenia, czy przestrzegane są progi powodujące obowiązek zgłoszenia i maksymalne intensywności pomocy, uwzględnia się wyłącznie pomoc państwa, pod warunkiem że łączna kwota finansowania publicznego przyznanego w odniesieniu do tych samych kosztów kwalifikowalnych nie przekracza najkorzystniejszej stopy finansowania określonej w obowiązujących przepisach prawa Unii (ust.</w:t>
            </w:r>
            <w:r w:rsidRPr="00A140E8">
              <w:rPr>
                <w:rFonts w:ascii="Times New Roman" w:eastAsia="Times New Roman" w:hAnsi="Times New Roman" w:cs="Times New Roman"/>
                <w:spacing w:val="-4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2).</w:t>
            </w:r>
          </w:p>
          <w:p w:rsidR="00A140E8" w:rsidRPr="00A140E8" w:rsidRDefault="00A140E8" w:rsidP="00A140E8">
            <w:pPr>
              <w:numPr>
                <w:ilvl w:val="0"/>
                <w:numId w:val="14"/>
              </w:numPr>
              <w:tabs>
                <w:tab w:val="left" w:pos="464"/>
              </w:tabs>
              <w:ind w:left="463" w:right="1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Wyłączoną pomoc można kumulować z wszelką inną pomocą państwa, pod warunkiem że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środki te dotyczą różnych, możliwych do wyodrębnienia kosztów kwalifikowalnych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(ust. 3 lit.</w:t>
            </w:r>
            <w:r w:rsidRPr="00A140E8">
              <w:rPr>
                <w:rFonts w:ascii="Times New Roman" w:eastAsia="Times New Roman" w:hAnsi="Times New Roman" w:cs="Times New Roman"/>
                <w:spacing w:val="-1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a)).</w:t>
            </w:r>
          </w:p>
          <w:p w:rsidR="00A140E8" w:rsidRPr="00A140E8" w:rsidRDefault="00A140E8" w:rsidP="00A140E8">
            <w:pPr>
              <w:numPr>
                <w:ilvl w:val="0"/>
                <w:numId w:val="14"/>
              </w:numPr>
              <w:tabs>
                <w:tab w:val="left" w:pos="463"/>
              </w:tabs>
              <w:ind w:right="99" w:hanging="35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Brak możliwości kumulowania wyłączonej pomocy z inną pomocą państwa w odniesieniu do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tych samych kosztów kwalifikowalnych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, pokrywających się częściowo lub w całości, jeżeli taka kumulacja powoduje przekroczenie najwyższego poziomu intensywności pomocy lub kwoty pomocy mających zastosowanie do tej pomocy (ust. 3 lit.</w:t>
            </w:r>
            <w:r w:rsidRPr="00A140E8">
              <w:rPr>
                <w:rFonts w:ascii="Times New Roman" w:eastAsia="Times New Roman" w:hAnsi="Times New Roman" w:cs="Times New Roman"/>
                <w:spacing w:val="-8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b)).</w:t>
            </w:r>
          </w:p>
          <w:p w:rsidR="00A140E8" w:rsidRPr="00A140E8" w:rsidRDefault="00A140E8" w:rsidP="00A140E8">
            <w:pPr>
              <w:numPr>
                <w:ilvl w:val="0"/>
                <w:numId w:val="14"/>
              </w:numPr>
              <w:tabs>
                <w:tab w:val="left" w:pos="464"/>
              </w:tabs>
              <w:ind w:right="99" w:hanging="35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Pomocy państwa wyłączonej na mocy ogólnego rozporządzenia w sprawie wyłączeń blokowych nie można kumulować z żadną pomocą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de minimis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w odniesieniu do tych samych kosztów kwalifikowalnych, jeżeli skutkiem takiej kumulacji byłoby przekroczenie poziomów intensywności pomocy określonych w rozdziale III rozporządzenia (ust.</w:t>
            </w:r>
            <w:r w:rsidRPr="00A140E8">
              <w:rPr>
                <w:rFonts w:ascii="Times New Roman" w:eastAsia="Times New Roman" w:hAnsi="Times New Roman" w:cs="Times New Roman"/>
                <w:spacing w:val="-11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5).</w:t>
            </w:r>
          </w:p>
        </w:tc>
        <w:tc>
          <w:tcPr>
            <w:tcW w:w="4961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81"/>
        </w:trPr>
        <w:tc>
          <w:tcPr>
            <w:tcW w:w="9351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 w:right="34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Artykuł 9 - Publikacja i informacja</w:t>
            </w:r>
          </w:p>
        </w:tc>
        <w:tc>
          <w:tcPr>
            <w:tcW w:w="4961" w:type="dxa"/>
            <w:shd w:val="clear" w:color="auto" w:fill="DADAD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2303"/>
        </w:trPr>
        <w:tc>
          <w:tcPr>
            <w:tcW w:w="9351" w:type="dxa"/>
          </w:tcPr>
          <w:p w:rsidR="00A140E8" w:rsidRPr="00A140E8" w:rsidRDefault="00A140E8" w:rsidP="00A140E8">
            <w:pPr>
              <w:numPr>
                <w:ilvl w:val="0"/>
                <w:numId w:val="13"/>
              </w:numPr>
              <w:tabs>
                <w:tab w:val="left" w:pos="431"/>
              </w:tabs>
              <w:ind w:right="100" w:hanging="327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Publikacja      na      kompleksowej       stronie       internetowej       dotyczącej   pomocy państwa następujących danych na szczeblu krajowym lub regionalnym (ust. 1):</w:t>
            </w:r>
          </w:p>
          <w:p w:rsidR="00A140E8" w:rsidRPr="00A140E8" w:rsidRDefault="00A140E8" w:rsidP="00A140E8">
            <w:pPr>
              <w:numPr>
                <w:ilvl w:val="1"/>
                <w:numId w:val="13"/>
              </w:numPr>
              <w:tabs>
                <w:tab w:val="left" w:pos="823"/>
                <w:tab w:val="left" w:pos="824"/>
              </w:tabs>
              <w:ind w:hanging="426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skrócone informacje (zob. art. 11) lub link do</w:t>
            </w:r>
            <w:r w:rsidRPr="00A140E8">
              <w:rPr>
                <w:rFonts w:ascii="Times New Roman" w:eastAsia="Times New Roman" w:hAnsi="Times New Roman" w:cs="Times New Roman"/>
                <w:spacing w:val="-22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nich;</w:t>
            </w:r>
          </w:p>
          <w:p w:rsidR="00A140E8" w:rsidRPr="00A140E8" w:rsidRDefault="00A140E8" w:rsidP="00A140E8">
            <w:pPr>
              <w:numPr>
                <w:ilvl w:val="1"/>
                <w:numId w:val="13"/>
              </w:numPr>
              <w:tabs>
                <w:tab w:val="left" w:pos="823"/>
                <w:tab w:val="left" w:pos="824"/>
              </w:tabs>
              <w:ind w:right="101" w:hanging="426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pełen tekst poszczególnych środków pomocy (zob. art. 11) lub link zapewniający dostęp do pełnego</w:t>
            </w:r>
            <w:r w:rsidRPr="00A140E8">
              <w:rPr>
                <w:rFonts w:ascii="Times New Roman" w:eastAsia="Times New Roman" w:hAnsi="Times New Roman" w:cs="Times New Roman"/>
                <w:spacing w:val="-11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tekstu;</w:t>
            </w:r>
          </w:p>
          <w:p w:rsidR="00A140E8" w:rsidRPr="00A140E8" w:rsidRDefault="00A140E8" w:rsidP="00A140E8">
            <w:pPr>
              <w:numPr>
                <w:ilvl w:val="1"/>
                <w:numId w:val="13"/>
              </w:numPr>
              <w:tabs>
                <w:tab w:val="left" w:pos="823"/>
                <w:tab w:val="left" w:pos="824"/>
              </w:tabs>
              <w:ind w:right="100" w:hanging="426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informacje na temat każdej pomocy indywidualnej przekraczającej 500 000 EUR (zob. załącznik</w:t>
            </w:r>
            <w:r w:rsidRPr="00A140E8">
              <w:rPr>
                <w:rFonts w:ascii="Times New Roman" w:eastAsia="Times New Roman" w:hAnsi="Times New Roman" w:cs="Times New Roman"/>
                <w:spacing w:val="-8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III).</w:t>
            </w:r>
          </w:p>
          <w:p w:rsidR="00A140E8" w:rsidRPr="00A140E8" w:rsidRDefault="00A140E8" w:rsidP="00A140E8">
            <w:pPr>
              <w:ind w:left="103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W odniesieniu do pomocy przyznanej na projekty w ramach europejskiej współpracy</w:t>
            </w:r>
            <w:r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 terytorialnej,</w:t>
            </w:r>
          </w:p>
        </w:tc>
        <w:tc>
          <w:tcPr>
            <w:tcW w:w="4961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</w:tbl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140E8" w:rsidRPr="00A140E8" w:rsidSect="007848C4">
          <w:pgSz w:w="15840" w:h="12240" w:orient="landscape"/>
          <w:pgMar w:top="2200" w:right="420" w:bottom="940" w:left="580" w:header="735" w:footer="756" w:gutter="0"/>
          <w:cols w:space="708"/>
          <w:docGrid w:linePitch="326"/>
        </w:sectPr>
      </w:pPr>
    </w:p>
    <w:tbl>
      <w:tblPr>
        <w:tblStyle w:val="TableNormal"/>
        <w:tblpPr w:leftFromText="141" w:rightFromText="141" w:vertAnchor="text" w:horzAnchor="margin" w:tblpY="-8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1"/>
        <w:gridCol w:w="4961"/>
      </w:tblGrid>
      <w:tr w:rsidR="00A140E8" w:rsidRPr="00A140E8" w:rsidTr="00A140E8">
        <w:trPr>
          <w:trHeight w:hRule="exact" w:val="267"/>
        </w:trPr>
        <w:tc>
          <w:tcPr>
            <w:tcW w:w="9351" w:type="dxa"/>
            <w:tcBorders>
              <w:bottom w:val="nil"/>
            </w:tcBorders>
          </w:tcPr>
          <w:p w:rsidR="00A140E8" w:rsidRPr="00A140E8" w:rsidRDefault="00A140E8" w:rsidP="00B10245">
            <w:pPr>
              <w:spacing w:line="250" w:lineRule="exact"/>
              <w:ind w:left="562" w:right="98" w:hanging="141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lastRenderedPageBreak/>
              <w:t>informacje,  o  których  mowa  w  niniejszym ustępie,  umieszcza  się  na</w:t>
            </w:r>
            <w:r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 stronie</w:t>
            </w:r>
            <w:r w:rsidR="00B10245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 internetowej</w:t>
            </w:r>
          </w:p>
        </w:tc>
        <w:tc>
          <w:tcPr>
            <w:tcW w:w="4961" w:type="dxa"/>
            <w:vMerge w:val="restart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B10245">
            <w:pPr>
              <w:spacing w:line="241" w:lineRule="exact"/>
              <w:ind w:left="562" w:right="99" w:hanging="141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państwa członkowskiego, w którym dana instytucja zarządzająca,</w:t>
            </w:r>
            <w:r w:rsidR="00B10245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 zgodnie z definicją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B10245">
            <w:pPr>
              <w:spacing w:line="241" w:lineRule="exact"/>
              <w:ind w:left="562" w:right="100" w:hanging="141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w art. 21 rozporządzenia Parlamentu Europejskiego i Rady (UE) nr</w:t>
            </w:r>
            <w:r w:rsidR="00B10245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1299/2013,  ma  siedzibę.  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427789" w:rsidP="00B10245">
            <w:pPr>
              <w:spacing w:line="241" w:lineRule="exact"/>
              <w:ind w:left="421" w:right="98" w:hanging="141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</w:t>
            </w:r>
            <w:r w:rsidR="00A140E8"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Opcjonalnie,  uczestniczące  państwa  członkowskie </w:t>
            </w:r>
            <w:r w:rsidR="00A140E8" w:rsidRPr="00A140E8">
              <w:rPr>
                <w:rFonts w:ascii="Times New Roman" w:eastAsia="Times New Roman" w:hAnsi="Times New Roman" w:cs="Times New Roman"/>
                <w:spacing w:val="50"/>
                <w:lang w:val="pl-PL"/>
              </w:rPr>
              <w:t xml:space="preserve"> </w:t>
            </w:r>
            <w:r w:rsidR="00A140E8" w:rsidRPr="00A140E8">
              <w:rPr>
                <w:rFonts w:ascii="Times New Roman" w:eastAsia="Times New Roman" w:hAnsi="Times New Roman" w:cs="Times New Roman"/>
                <w:lang w:val="pl-PL"/>
              </w:rPr>
              <w:t>mogą</w:t>
            </w:r>
            <w:r w:rsidR="00B10245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 również postanowić, że każde z nich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427789" w:rsidP="00B10245">
            <w:pPr>
              <w:spacing w:line="241" w:lineRule="exact"/>
              <w:ind w:left="421" w:right="102" w:hanging="141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</w:t>
            </w:r>
            <w:r w:rsidR="00A140E8" w:rsidRPr="00A140E8">
              <w:rPr>
                <w:rFonts w:ascii="Times New Roman" w:eastAsia="Times New Roman" w:hAnsi="Times New Roman" w:cs="Times New Roman"/>
                <w:lang w:val="pl-PL"/>
              </w:rPr>
              <w:t>dostarcza informacje dotyczące środków pomocy</w:t>
            </w:r>
            <w:r w:rsidR="00B10245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 na swoim terytorium na odpowiednich stronach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9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B10245">
            <w:pPr>
              <w:spacing w:line="241" w:lineRule="exact"/>
              <w:ind w:left="562" w:right="34" w:hanging="141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internetowych.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6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B10245" w:rsidRDefault="00A140E8" w:rsidP="00B10245">
            <w:pPr>
              <w:pStyle w:val="Akapitzlist"/>
              <w:numPr>
                <w:ilvl w:val="0"/>
                <w:numId w:val="27"/>
              </w:numPr>
              <w:tabs>
                <w:tab w:val="left" w:pos="137"/>
              </w:tabs>
              <w:spacing w:line="251" w:lineRule="exact"/>
              <w:ind w:right="98"/>
              <w:rPr>
                <w:rFonts w:ascii="Times New Roman" w:eastAsia="Times New Roman" w:hAnsi="Times New Roman" w:cs="Times New Roman"/>
                <w:lang w:val="pl-PL"/>
              </w:rPr>
            </w:pPr>
            <w:r w:rsidRPr="00B10245">
              <w:rPr>
                <w:rFonts w:ascii="Times New Roman" w:eastAsia="Times New Roman" w:hAnsi="Times New Roman" w:cs="Times New Roman"/>
                <w:lang w:val="pl-PL"/>
              </w:rPr>
              <w:t>W przypadku programów w formie korzyś</w:t>
            </w:r>
            <w:r w:rsidR="00B10245" w:rsidRPr="00B10245">
              <w:rPr>
                <w:rFonts w:ascii="Times New Roman" w:eastAsia="Times New Roman" w:hAnsi="Times New Roman" w:cs="Times New Roman"/>
                <w:lang w:val="pl-PL"/>
              </w:rPr>
              <w:t xml:space="preserve">ci podatkowych oraz programów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objętych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B10245">
            <w:pPr>
              <w:spacing w:line="241" w:lineRule="exact"/>
              <w:ind w:left="-5" w:right="101" w:hanging="425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art. 16 i 21 (z wyjątkiem MŚP, które nie zrealizowały żadnej sprzedaży komercyjnej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B10245">
            <w:pPr>
              <w:spacing w:line="241" w:lineRule="exact"/>
              <w:ind w:left="-5" w:right="101" w:hanging="425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na jakimkolwiek rynku) warunki określone w ust. 1 lit. c) tego artykułu uznaje się za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427789" w:rsidP="00B10245">
            <w:pPr>
              <w:spacing w:line="241" w:lineRule="exact"/>
              <w:ind w:left="-5" w:right="99" w:hanging="425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</w:t>
            </w:r>
            <w:r w:rsidR="00A140E8" w:rsidRPr="00A140E8">
              <w:rPr>
                <w:rFonts w:ascii="Times New Roman" w:eastAsia="Times New Roman" w:hAnsi="Times New Roman" w:cs="Times New Roman"/>
                <w:lang w:val="pl-PL"/>
              </w:rPr>
              <w:t>spełnione,  jeżeli  państwa  członkowskie  publikują  wymagane  informacje dotyczące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427789" w:rsidP="00A140E8">
            <w:pPr>
              <w:spacing w:line="241" w:lineRule="exact"/>
              <w:ind w:left="430" w:right="34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  </w:t>
            </w:r>
            <w:r w:rsidR="00A140E8" w:rsidRPr="00A140E8">
              <w:rPr>
                <w:rFonts w:ascii="Times New Roman" w:eastAsia="Times New Roman" w:hAnsi="Times New Roman" w:cs="Times New Roman"/>
                <w:lang w:val="pl-PL"/>
              </w:rPr>
              <w:t>kwot pomocy indywidualnej w następujących przedziałach (w mln EUR) (ust. 2):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A140E8">
            <w:pPr>
              <w:tabs>
                <w:tab w:val="left" w:pos="822"/>
              </w:tabs>
              <w:spacing w:line="241" w:lineRule="exact"/>
              <w:ind w:left="463" w:right="34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-</w:t>
            </w:r>
            <w:r w:rsidRPr="00A140E8">
              <w:rPr>
                <w:rFonts w:ascii="Times New Roman" w:eastAsia="Times New Roman" w:hAnsi="Times New Roman" w:cs="Times New Roman"/>
              </w:rPr>
              <w:tab/>
              <w:t>0,5-1;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A140E8">
            <w:pPr>
              <w:tabs>
                <w:tab w:val="left" w:pos="822"/>
              </w:tabs>
              <w:spacing w:line="241" w:lineRule="exact"/>
              <w:ind w:left="463" w:right="34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-</w:t>
            </w:r>
            <w:r w:rsidRPr="00A140E8">
              <w:rPr>
                <w:rFonts w:ascii="Times New Roman" w:eastAsia="Times New Roman" w:hAnsi="Times New Roman" w:cs="Times New Roman"/>
              </w:rPr>
              <w:tab/>
              <w:t>1-2;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A140E8">
            <w:pPr>
              <w:tabs>
                <w:tab w:val="left" w:pos="822"/>
              </w:tabs>
              <w:spacing w:line="241" w:lineRule="exact"/>
              <w:ind w:left="463" w:right="34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-</w:t>
            </w:r>
            <w:r w:rsidRPr="00A140E8">
              <w:rPr>
                <w:rFonts w:ascii="Times New Roman" w:eastAsia="Times New Roman" w:hAnsi="Times New Roman" w:cs="Times New Roman"/>
              </w:rPr>
              <w:tab/>
              <w:t>2-5;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A140E8">
            <w:pPr>
              <w:tabs>
                <w:tab w:val="left" w:pos="822"/>
              </w:tabs>
              <w:spacing w:line="241" w:lineRule="exact"/>
              <w:ind w:left="463" w:right="34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-</w:t>
            </w:r>
            <w:r w:rsidRPr="00A140E8">
              <w:rPr>
                <w:rFonts w:ascii="Times New Roman" w:eastAsia="Times New Roman" w:hAnsi="Times New Roman" w:cs="Times New Roman"/>
              </w:rPr>
              <w:tab/>
              <w:t>5-10;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A140E8">
            <w:pPr>
              <w:tabs>
                <w:tab w:val="left" w:pos="822"/>
              </w:tabs>
              <w:spacing w:line="241" w:lineRule="exact"/>
              <w:ind w:left="463" w:right="34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-</w:t>
            </w:r>
            <w:r w:rsidRPr="00A140E8">
              <w:rPr>
                <w:rFonts w:ascii="Times New Roman" w:eastAsia="Times New Roman" w:hAnsi="Times New Roman" w:cs="Times New Roman"/>
              </w:rPr>
              <w:tab/>
              <w:t>10-30;</w:t>
            </w:r>
            <w:r w:rsidRPr="00A140E8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</w:rPr>
              <w:t>oraz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259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A140E8">
            <w:pPr>
              <w:tabs>
                <w:tab w:val="left" w:pos="822"/>
              </w:tabs>
              <w:spacing w:line="241" w:lineRule="exact"/>
              <w:ind w:left="463" w:right="34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</w:rPr>
              <w:t>-</w:t>
            </w:r>
            <w:r w:rsidRPr="00A140E8">
              <w:rPr>
                <w:rFonts w:ascii="Times New Roman" w:eastAsia="Times New Roman" w:hAnsi="Times New Roman" w:cs="Times New Roman"/>
              </w:rPr>
              <w:tab/>
              <w:t>30 lub</w:t>
            </w:r>
            <w:r w:rsidRPr="00A140E8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</w:rPr>
              <w:t>więcej.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26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B10245" w:rsidRDefault="00A140E8" w:rsidP="00B10245">
            <w:pPr>
              <w:pStyle w:val="Akapitzlist"/>
              <w:numPr>
                <w:ilvl w:val="0"/>
                <w:numId w:val="27"/>
              </w:numPr>
              <w:tabs>
                <w:tab w:val="left" w:pos="431"/>
              </w:tabs>
              <w:spacing w:line="251" w:lineRule="exact"/>
              <w:ind w:right="100"/>
              <w:rPr>
                <w:rFonts w:ascii="Times New Roman" w:eastAsia="Times New Roman" w:hAnsi="Times New Roman" w:cs="Times New Roman"/>
                <w:lang w:val="pl-PL"/>
              </w:rPr>
            </w:pPr>
            <w:r w:rsidRPr="00B10245">
              <w:rPr>
                <w:rFonts w:ascii="Times New Roman" w:eastAsia="Times New Roman" w:hAnsi="Times New Roman" w:cs="Times New Roman"/>
                <w:lang w:val="pl-PL"/>
              </w:rPr>
              <w:t>Informacje,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o</w:t>
            </w:r>
            <w:r w:rsidRPr="00B10245">
              <w:rPr>
                <w:rFonts w:ascii="Times New Roman" w:eastAsia="Times New Roman" w:hAnsi="Times New Roman" w:cs="Times New Roman"/>
                <w:spacing w:val="31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których</w:t>
            </w:r>
            <w:r w:rsidRPr="00B10245">
              <w:rPr>
                <w:rFonts w:ascii="Times New Roman" w:eastAsia="Times New Roman" w:hAnsi="Times New Roman" w:cs="Times New Roman"/>
                <w:spacing w:val="30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mowa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w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ust.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1</w:t>
            </w:r>
            <w:r w:rsidRPr="00B10245">
              <w:rPr>
                <w:rFonts w:ascii="Times New Roman" w:eastAsia="Times New Roman" w:hAnsi="Times New Roman" w:cs="Times New Roman"/>
                <w:spacing w:val="30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lit.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c),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przedstawia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się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i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udostępnia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w</w:t>
            </w:r>
            <w:r w:rsidRPr="00B10245">
              <w:rPr>
                <w:rFonts w:ascii="Times New Roman" w:eastAsia="Times New Roman" w:hAnsi="Times New Roman" w:cs="Times New Roman"/>
                <w:spacing w:val="29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sposób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B10245">
            <w:pPr>
              <w:spacing w:line="241" w:lineRule="exact"/>
              <w:ind w:right="101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znormalizowany  (zob.  załącznik  III),  umożliwiający  ich  sprawne  wyszukiwanie   i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B10245">
            <w:pPr>
              <w:spacing w:line="241" w:lineRule="exact"/>
              <w:ind w:right="102"/>
              <w:jc w:val="center"/>
              <w:rPr>
                <w:rFonts w:ascii="Times New Roman" w:eastAsia="Times New Roman" w:hAnsi="Times New Roman" w:cs="Times New Roman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pobieranie.  Informacje,  o  których  mowa  w  ust.  </w:t>
            </w:r>
            <w:r>
              <w:rPr>
                <w:rFonts w:ascii="Times New Roman" w:eastAsia="Times New Roman" w:hAnsi="Times New Roman" w:cs="Times New Roman"/>
              </w:rPr>
              <w:t>1,  są</w:t>
            </w:r>
            <w:r w:rsidRPr="00A140E8">
              <w:rPr>
                <w:rFonts w:ascii="Times New Roman" w:eastAsia="Times New Roman" w:hAnsi="Times New Roman" w:cs="Times New Roman"/>
              </w:rPr>
              <w:t xml:space="preserve">  publikowane  w  terminie   6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A140E8" w:rsidP="00B10245">
            <w:pPr>
              <w:spacing w:line="241" w:lineRule="exact"/>
              <w:ind w:right="101"/>
              <w:jc w:val="center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miesięcy  od  daty  przyznania  pomocy  lub,  w  przypadku  pomocy  w  formie     ulgi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B10245" w:rsidP="00B10245">
            <w:pPr>
              <w:spacing w:line="241" w:lineRule="exact"/>
              <w:ind w:right="99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             </w:t>
            </w:r>
            <w:r w:rsidR="00A140E8" w:rsidRPr="00A140E8">
              <w:rPr>
                <w:rFonts w:ascii="Times New Roman" w:eastAsia="Times New Roman" w:hAnsi="Times New Roman" w:cs="Times New Roman"/>
                <w:lang w:val="pl-PL"/>
              </w:rPr>
              <w:t>podatkowej, w ciągu 1 roku od daty, w której wymagane jest</w:t>
            </w:r>
            <w:r w:rsidR="00A140E8" w:rsidRPr="00A140E8">
              <w:rPr>
                <w:rFonts w:ascii="Times New Roman" w:eastAsia="Times New Roman" w:hAnsi="Times New Roman" w:cs="Times New Roman"/>
                <w:spacing w:val="50"/>
                <w:lang w:val="pl-PL"/>
              </w:rPr>
              <w:t xml:space="preserve"> </w:t>
            </w:r>
            <w:r w:rsidR="00A140E8" w:rsidRPr="00A140E8">
              <w:rPr>
                <w:rFonts w:ascii="Times New Roman" w:eastAsia="Times New Roman" w:hAnsi="Times New Roman" w:cs="Times New Roman"/>
                <w:lang w:val="pl-PL"/>
              </w:rPr>
              <w:t>złożenie deklaracji</w:t>
            </w:r>
            <w:r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 podatkowej,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B10245" w:rsidP="00B10245">
            <w:pPr>
              <w:spacing w:line="241" w:lineRule="exact"/>
              <w:ind w:right="98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  <w:lang w:val="pl-PL"/>
              </w:rPr>
              <w:t xml:space="preserve">              </w:t>
            </w:r>
            <w:r w:rsidR="00A140E8" w:rsidRPr="00A140E8">
              <w:rPr>
                <w:rFonts w:ascii="Times New Roman" w:eastAsia="Times New Roman" w:hAnsi="Times New Roman" w:cs="Times New Roman"/>
                <w:lang w:val="pl-PL"/>
              </w:rPr>
              <w:t>i będą dostępne co najmniej przez okres 10 lat od dnia, w którym pomoc</w:t>
            </w:r>
            <w:r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została przyznana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59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A140E8" w:rsidRDefault="00B10245" w:rsidP="00A140E8">
            <w:pPr>
              <w:spacing w:line="241" w:lineRule="exact"/>
              <w:ind w:left="430" w:right="34"/>
              <w:rPr>
                <w:rFonts w:ascii="Times New Roman" w:eastAsia="Times New Roman" w:hAnsi="Times New Roman" w:cs="Times New Roman"/>
                <w:lang w:val="pl-P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</w:t>
            </w:r>
            <w:r w:rsidR="00A140E8" w:rsidRPr="00A140E8">
              <w:rPr>
                <w:rFonts w:ascii="Times New Roman" w:eastAsia="Times New Roman" w:hAnsi="Times New Roman" w:cs="Times New Roman"/>
              </w:rPr>
              <w:t xml:space="preserve"> (ust. 4).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63"/>
        </w:trPr>
        <w:tc>
          <w:tcPr>
            <w:tcW w:w="9351" w:type="dxa"/>
            <w:tcBorders>
              <w:top w:val="nil"/>
              <w:bottom w:val="nil"/>
            </w:tcBorders>
          </w:tcPr>
          <w:p w:rsidR="00A140E8" w:rsidRPr="00B10245" w:rsidRDefault="00A140E8" w:rsidP="00B10245">
            <w:pPr>
              <w:pStyle w:val="Akapitzlist"/>
              <w:numPr>
                <w:ilvl w:val="0"/>
                <w:numId w:val="27"/>
              </w:numPr>
              <w:tabs>
                <w:tab w:val="left" w:pos="431"/>
              </w:tabs>
              <w:spacing w:line="251" w:lineRule="exact"/>
              <w:ind w:right="100"/>
              <w:rPr>
                <w:rFonts w:ascii="Times New Roman" w:eastAsia="Times New Roman" w:hAnsi="Times New Roman" w:cs="Times New Roman"/>
                <w:lang w:val="pl-PL"/>
              </w:rPr>
            </w:pPr>
            <w:r w:rsidRPr="00B10245">
              <w:rPr>
                <w:rFonts w:ascii="Times New Roman" w:eastAsia="Times New Roman" w:hAnsi="Times New Roman" w:cs="Times New Roman"/>
                <w:lang w:val="pl-PL"/>
              </w:rPr>
              <w:t>Państwa członkowskie muszą zastosować się do przepisów tego artykułu najpóźniej</w:t>
            </w:r>
            <w:r w:rsidRPr="00B10245">
              <w:rPr>
                <w:rFonts w:ascii="Times New Roman" w:eastAsia="Times New Roman" w:hAnsi="Times New Roman" w:cs="Times New Roman"/>
                <w:spacing w:val="38"/>
                <w:lang w:val="pl-PL"/>
              </w:rPr>
              <w:t xml:space="preserve"> </w:t>
            </w:r>
            <w:r w:rsidRPr="00B10245">
              <w:rPr>
                <w:rFonts w:ascii="Times New Roman" w:eastAsia="Times New Roman" w:hAnsi="Times New Roman" w:cs="Times New Roman"/>
                <w:lang w:val="pl-PL"/>
              </w:rPr>
              <w:t>w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A140E8">
        <w:trPr>
          <w:trHeight w:hRule="exact" w:val="249"/>
        </w:trPr>
        <w:tc>
          <w:tcPr>
            <w:tcW w:w="9351" w:type="dxa"/>
            <w:tcBorders>
              <w:top w:val="nil"/>
            </w:tcBorders>
          </w:tcPr>
          <w:p w:rsidR="00A140E8" w:rsidRPr="00A140E8" w:rsidRDefault="00A140E8" w:rsidP="00A140E8">
            <w:pPr>
              <w:spacing w:line="241" w:lineRule="exact"/>
              <w:ind w:left="430" w:right="34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ciągu dwóch lat od daty wejścia w życie rozporządzenia (tj. 1.7.2016) (ust. 6).</w:t>
            </w:r>
          </w:p>
        </w:tc>
        <w:tc>
          <w:tcPr>
            <w:tcW w:w="4961" w:type="dxa"/>
            <w:vMerge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</w:tbl>
    <w:p w:rsidR="00A140E8" w:rsidRPr="00A140E8" w:rsidRDefault="00A140E8" w:rsidP="00A140E8">
      <w:pPr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140E8" w:rsidRPr="00A140E8" w:rsidRDefault="00A140E8" w:rsidP="00A140E8">
      <w:pPr>
        <w:spacing w:before="8" w:after="0" w:line="240" w:lineRule="auto"/>
        <w:rPr>
          <w:rFonts w:ascii="Times New Roman" w:eastAsia="Times New Roman" w:hAnsi="Times New Roman" w:cs="Times New Roman"/>
          <w:sz w:val="15"/>
          <w:szCs w:val="24"/>
          <w:lang w:eastAsia="pl-PL"/>
        </w:rPr>
      </w:pPr>
    </w:p>
    <w:p w:rsidR="00A140E8" w:rsidRPr="00A140E8" w:rsidRDefault="00A140E8" w:rsidP="00A140E8">
      <w:pPr>
        <w:spacing w:before="69" w:after="0" w:line="240" w:lineRule="auto"/>
        <w:ind w:left="837" w:right="6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Definicje pojęć</w:t>
      </w:r>
      <w:r w:rsidRPr="00A140E8">
        <w:rPr>
          <w:rFonts w:ascii="Times New Roman" w:eastAsia="Times New Roman" w:hAnsi="Times New Roman" w:cs="Times New Roman"/>
          <w:sz w:val="24"/>
          <w:szCs w:val="24"/>
          <w:lang w:eastAsia="pl-PL"/>
        </w:rPr>
        <w:t>: zob. art. 2 (uwaga na nową definicję przedsiębiorstwa znajdującego się w trudnej sytuacji)</w:t>
      </w:r>
    </w:p>
    <w:p w:rsidR="00A140E8" w:rsidRPr="00A140E8" w:rsidRDefault="00A140E8" w:rsidP="00A140E8">
      <w:pPr>
        <w:spacing w:after="0" w:line="240" w:lineRule="auto"/>
        <w:ind w:left="837" w:right="6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Sprawozdawczość</w:t>
      </w:r>
      <w:r w:rsidRPr="00A140E8">
        <w:rPr>
          <w:rFonts w:ascii="Times New Roman" w:eastAsia="Times New Roman" w:hAnsi="Times New Roman" w:cs="Times New Roman"/>
          <w:sz w:val="24"/>
          <w:szCs w:val="24"/>
          <w:lang w:eastAsia="pl-PL"/>
        </w:rPr>
        <w:t>: artykuł 11</w:t>
      </w:r>
    </w:p>
    <w:p w:rsidR="00A140E8" w:rsidRPr="00A140E8" w:rsidRDefault="00A140E8" w:rsidP="00A140E8">
      <w:pPr>
        <w:spacing w:after="0" w:line="253" w:lineRule="exact"/>
        <w:ind w:left="837" w:right="6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Monitorowanie: </w:t>
      </w:r>
      <w:r w:rsidRPr="00A140E8">
        <w:rPr>
          <w:rFonts w:ascii="Times New Roman" w:eastAsia="Times New Roman" w:hAnsi="Times New Roman" w:cs="Times New Roman"/>
          <w:sz w:val="24"/>
          <w:szCs w:val="24"/>
          <w:lang w:eastAsia="pl-PL"/>
        </w:rPr>
        <w:t>artykuł 12</w:t>
      </w:r>
    </w:p>
    <w:p w:rsidR="00A140E8" w:rsidRPr="00A140E8" w:rsidRDefault="00A140E8" w:rsidP="00A140E8">
      <w:pPr>
        <w:spacing w:after="0" w:line="276" w:lineRule="exact"/>
        <w:ind w:left="837" w:right="6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40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Wycofanie przywileju wyłączenia grupowego</w:t>
      </w:r>
      <w:r w:rsidRPr="00A140E8">
        <w:rPr>
          <w:rFonts w:ascii="Times New Roman" w:eastAsia="Times New Roman" w:hAnsi="Times New Roman" w:cs="Times New Roman"/>
          <w:sz w:val="24"/>
          <w:szCs w:val="24"/>
          <w:lang w:eastAsia="pl-PL"/>
        </w:rPr>
        <w:t>: artykuł 10</w:t>
      </w:r>
    </w:p>
    <w:p w:rsidR="00A140E8" w:rsidRPr="00A140E8" w:rsidRDefault="00A140E8" w:rsidP="00A140E8">
      <w:pPr>
        <w:spacing w:after="0" w:line="276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A140E8" w:rsidRPr="00A140E8">
          <w:pgSz w:w="15840" w:h="12240" w:orient="landscape"/>
          <w:pgMar w:top="2200" w:right="420" w:bottom="940" w:left="580" w:header="735" w:footer="756" w:gutter="0"/>
          <w:cols w:space="708"/>
        </w:sectPr>
      </w:pPr>
    </w:p>
    <w:p w:rsidR="00A140E8" w:rsidRPr="00A140E8" w:rsidRDefault="00A140E8" w:rsidP="00A140E8">
      <w:pPr>
        <w:widowControl w:val="0"/>
        <w:numPr>
          <w:ilvl w:val="0"/>
          <w:numId w:val="26"/>
        </w:numPr>
        <w:tabs>
          <w:tab w:val="left" w:pos="142"/>
          <w:tab w:val="left" w:pos="851"/>
        </w:tabs>
        <w:spacing w:before="72" w:after="0" w:line="240" w:lineRule="auto"/>
        <w:ind w:left="142" w:firstLine="0"/>
        <w:jc w:val="center"/>
        <w:outlineLvl w:val="1"/>
        <w:rPr>
          <w:rFonts w:ascii="Cambria" w:eastAsia="Times New Roman" w:hAnsi="Cambria" w:cs="Times New Roman"/>
          <w:color w:val="365F91"/>
          <w:sz w:val="26"/>
          <w:szCs w:val="26"/>
          <w:lang w:eastAsia="pl-PL"/>
        </w:rPr>
      </w:pP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lastRenderedPageBreak/>
        <w:t>Warunki</w:t>
      </w:r>
      <w:r w:rsidRPr="00A140E8">
        <w:rPr>
          <w:rFonts w:ascii="Cambria" w:eastAsia="Times New Roman" w:hAnsi="Cambria" w:cs="Times New Roman"/>
          <w:color w:val="365F91"/>
          <w:spacing w:val="-5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szczególne</w:t>
      </w:r>
      <w:r w:rsidRPr="00A140E8">
        <w:rPr>
          <w:rFonts w:ascii="Cambria" w:eastAsia="Times New Roman" w:hAnsi="Cambria" w:cs="Times New Roman"/>
          <w:color w:val="365F91"/>
          <w:spacing w:val="-6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dotyczące</w:t>
      </w:r>
      <w:r w:rsidRPr="00A140E8">
        <w:rPr>
          <w:rFonts w:ascii="Cambria" w:eastAsia="Times New Roman" w:hAnsi="Cambria" w:cs="Times New Roman"/>
          <w:color w:val="365F91"/>
          <w:spacing w:val="-6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pomocy</w:t>
      </w:r>
      <w:r w:rsidRPr="00A140E8">
        <w:rPr>
          <w:rFonts w:ascii="Cambria" w:eastAsia="Times New Roman" w:hAnsi="Cambria" w:cs="Times New Roman"/>
          <w:color w:val="365F91"/>
          <w:spacing w:val="-5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na</w:t>
      </w:r>
      <w:r w:rsidRPr="00A140E8">
        <w:rPr>
          <w:rFonts w:ascii="Cambria" w:eastAsia="Times New Roman" w:hAnsi="Cambria" w:cs="Times New Roman"/>
          <w:color w:val="365F91"/>
          <w:spacing w:val="-5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infrastrukturę</w:t>
      </w:r>
      <w:r w:rsidRPr="00A140E8">
        <w:rPr>
          <w:rFonts w:ascii="Cambria" w:eastAsia="Times New Roman" w:hAnsi="Cambria" w:cs="Times New Roman"/>
          <w:color w:val="365F91"/>
          <w:spacing w:val="-6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sportową</w:t>
      </w:r>
      <w:r w:rsidRPr="00A140E8">
        <w:rPr>
          <w:rFonts w:ascii="Cambria" w:eastAsia="Times New Roman" w:hAnsi="Cambria" w:cs="Times New Roman"/>
          <w:color w:val="365F91"/>
          <w:spacing w:val="-5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i</w:t>
      </w:r>
      <w:r w:rsidRPr="00A140E8">
        <w:rPr>
          <w:rFonts w:ascii="Cambria" w:eastAsia="Times New Roman" w:hAnsi="Cambria" w:cs="Times New Roman"/>
          <w:color w:val="365F91"/>
          <w:spacing w:val="-5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wielofunkcyjną</w:t>
      </w:r>
      <w:r w:rsidRPr="00A140E8">
        <w:rPr>
          <w:rFonts w:ascii="Cambria" w:eastAsia="Times New Roman" w:hAnsi="Cambria" w:cs="Times New Roman"/>
          <w:color w:val="365F91"/>
          <w:spacing w:val="-5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infrastrukturę</w:t>
      </w:r>
      <w:r w:rsidRPr="00A140E8">
        <w:rPr>
          <w:rFonts w:ascii="Cambria" w:eastAsia="Times New Roman" w:hAnsi="Cambria" w:cs="Times New Roman"/>
          <w:color w:val="365F91"/>
          <w:spacing w:val="-6"/>
          <w:sz w:val="26"/>
          <w:szCs w:val="26"/>
          <w:u w:val="thick"/>
          <w:lang w:eastAsia="pl-PL"/>
        </w:rPr>
        <w:t xml:space="preserve"> </w:t>
      </w:r>
      <w:r w:rsidRPr="00A140E8">
        <w:rPr>
          <w:rFonts w:ascii="Cambria" w:eastAsia="Times New Roman" w:hAnsi="Cambria" w:cs="Times New Roman"/>
          <w:color w:val="365F91"/>
          <w:sz w:val="26"/>
          <w:szCs w:val="26"/>
          <w:u w:val="thick"/>
          <w:lang w:eastAsia="pl-PL"/>
        </w:rPr>
        <w:t>rekreacyjną</w:t>
      </w:r>
    </w:p>
    <w:p w:rsidR="00A140E8" w:rsidRPr="00A140E8" w:rsidRDefault="00A140E8" w:rsidP="00A140E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</w:p>
    <w:p w:rsidR="00A140E8" w:rsidRPr="00A140E8" w:rsidRDefault="00A140E8" w:rsidP="00A140E8">
      <w:pPr>
        <w:spacing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8"/>
        <w:gridCol w:w="4819"/>
      </w:tblGrid>
      <w:tr w:rsidR="00A140E8" w:rsidRPr="00A140E8" w:rsidTr="00B10245">
        <w:trPr>
          <w:trHeight w:hRule="exact" w:val="769"/>
        </w:trPr>
        <w:tc>
          <w:tcPr>
            <w:tcW w:w="9248" w:type="dxa"/>
            <w:shd w:val="clear" w:color="auto" w:fill="333399"/>
          </w:tcPr>
          <w:p w:rsidR="00A140E8" w:rsidRPr="00A140E8" w:rsidRDefault="00A140E8" w:rsidP="00A140E8">
            <w:pPr>
              <w:spacing w:line="252" w:lineRule="exact"/>
              <w:ind w:left="1214" w:right="857"/>
              <w:jc w:val="center"/>
              <w:rPr>
                <w:rFonts w:ascii="Times New Roman" w:eastAsia="Times New Roman" w:hAnsi="Times New Roman" w:cs="Times New Roman"/>
                <w:b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color w:val="FFFFFF"/>
                <w:lang w:val="pl-PL"/>
              </w:rPr>
              <w:t>A</w:t>
            </w:r>
            <w:r w:rsidRPr="00A140E8">
              <w:rPr>
                <w:rFonts w:ascii="Times New Roman" w:eastAsia="Times New Roman" w:hAnsi="Times New Roman" w:cs="Times New Roman"/>
                <w:b/>
                <w:color w:val="FFFFFF"/>
                <w:sz w:val="18"/>
                <w:lang w:val="pl-PL"/>
              </w:rPr>
              <w:t xml:space="preserve">RTYKUŁ </w:t>
            </w:r>
            <w:r w:rsidRPr="00A140E8">
              <w:rPr>
                <w:rFonts w:ascii="Times New Roman" w:eastAsia="Times New Roman" w:hAnsi="Times New Roman" w:cs="Times New Roman"/>
                <w:b/>
                <w:color w:val="FFFFFF"/>
                <w:lang w:val="pl-PL"/>
              </w:rPr>
              <w:t>55</w:t>
            </w:r>
          </w:p>
          <w:p w:rsidR="00A140E8" w:rsidRPr="00A140E8" w:rsidRDefault="00A140E8" w:rsidP="00A140E8">
            <w:pPr>
              <w:spacing w:line="276" w:lineRule="auto"/>
              <w:ind w:left="1218" w:right="857"/>
              <w:jc w:val="center"/>
              <w:rPr>
                <w:rFonts w:ascii="Times New Roman" w:eastAsia="Times New Roman" w:hAnsi="Times New Roman" w:cs="Times New Roman"/>
                <w:b/>
                <w:sz w:val="18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color w:val="FFFFFF"/>
                <w:lang w:val="pl-PL"/>
              </w:rPr>
              <w:t>P</w:t>
            </w:r>
            <w:r w:rsidRPr="00A140E8">
              <w:rPr>
                <w:rFonts w:ascii="Times New Roman" w:eastAsia="Times New Roman" w:hAnsi="Times New Roman" w:cs="Times New Roman"/>
                <w:b/>
                <w:color w:val="FFFFFF"/>
                <w:sz w:val="18"/>
                <w:lang w:val="pl-PL"/>
              </w:rPr>
              <w:t>OMOC NA INFRASTRUKTURĘ SPORTOWĄ I WIELOFUNKCYJNĄ INFRASTRUKTURĘ REKREACYJNĄ</w:t>
            </w:r>
          </w:p>
        </w:tc>
        <w:tc>
          <w:tcPr>
            <w:tcW w:w="4819" w:type="dxa"/>
            <w:shd w:val="clear" w:color="auto" w:fill="333399"/>
          </w:tcPr>
          <w:p w:rsidR="00A140E8" w:rsidRPr="00A140E8" w:rsidRDefault="00A140E8" w:rsidP="00B10245">
            <w:pPr>
              <w:spacing w:line="252" w:lineRule="exact"/>
              <w:ind w:left="1984" w:hanging="1085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  <w:color w:val="FFFFFF"/>
              </w:rPr>
              <w:t>K</w:t>
            </w:r>
            <w:r w:rsidRPr="00A140E8">
              <w:rPr>
                <w:rFonts w:ascii="Times New Roman" w:eastAsia="Times New Roman" w:hAnsi="Times New Roman" w:cs="Times New Roman"/>
                <w:b/>
                <w:color w:val="FFFFFF"/>
                <w:sz w:val="18"/>
              </w:rPr>
              <w:t xml:space="preserve">ONTROLA ZGODNOŚCI </w:t>
            </w:r>
            <w:r w:rsidRPr="00A140E8">
              <w:rPr>
                <w:rFonts w:ascii="Times New Roman" w:eastAsia="Times New Roman" w:hAnsi="Times New Roman" w:cs="Times New Roman"/>
                <w:b/>
                <w:color w:val="FFFFFF"/>
              </w:rPr>
              <w:t>(OK?)</w:t>
            </w:r>
          </w:p>
        </w:tc>
      </w:tr>
      <w:tr w:rsidR="00A140E8" w:rsidRPr="00A140E8" w:rsidTr="00B10245">
        <w:trPr>
          <w:trHeight w:hRule="exact" w:val="516"/>
        </w:trPr>
        <w:tc>
          <w:tcPr>
            <w:tcW w:w="9248" w:type="dxa"/>
          </w:tcPr>
          <w:p w:rsidR="00A140E8" w:rsidRPr="00A140E8" w:rsidRDefault="00A140E8" w:rsidP="00A140E8">
            <w:pPr>
              <w:ind w:left="103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Zgodna z rynkiem wewnętrznym i wyłączona z obowiązku zgłoszenia, jeśli mają zastosowanie ogólne warunki zgodności oraz warunki tego artykułu (ust. 1).</w:t>
            </w:r>
          </w:p>
        </w:tc>
        <w:tc>
          <w:tcPr>
            <w:tcW w:w="4819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B10245">
        <w:trPr>
          <w:trHeight w:hRule="exact" w:val="376"/>
        </w:trPr>
        <w:tc>
          <w:tcPr>
            <w:tcW w:w="9248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Rodzaj infrastruktury</w:t>
            </w:r>
          </w:p>
        </w:tc>
        <w:tc>
          <w:tcPr>
            <w:tcW w:w="4819" w:type="dxa"/>
            <w:shd w:val="clear" w:color="auto" w:fill="DADAD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B10245">
        <w:trPr>
          <w:trHeight w:hRule="exact" w:val="1038"/>
        </w:trPr>
        <w:tc>
          <w:tcPr>
            <w:tcW w:w="9248" w:type="dxa"/>
          </w:tcPr>
          <w:p w:rsidR="00A140E8" w:rsidRPr="00A140E8" w:rsidRDefault="00A140E8" w:rsidP="00A140E8">
            <w:pPr>
              <w:numPr>
                <w:ilvl w:val="0"/>
                <w:numId w:val="9"/>
              </w:numPr>
              <w:tabs>
                <w:tab w:val="left" w:pos="463"/>
                <w:tab w:val="left" w:pos="464"/>
              </w:tabs>
              <w:spacing w:line="266" w:lineRule="exact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Infrastruktura sportowa i wielofunkcyjna infrastruktura</w:t>
            </w:r>
            <w:r w:rsidRPr="00A140E8">
              <w:rPr>
                <w:rFonts w:ascii="Times New Roman" w:eastAsia="Times New Roman" w:hAnsi="Times New Roman" w:cs="Times New Roman"/>
                <w:spacing w:val="-3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rekreacyjna</w:t>
            </w:r>
          </w:p>
          <w:p w:rsidR="00A140E8" w:rsidRPr="00A140E8" w:rsidRDefault="00A140E8" w:rsidP="00A140E8">
            <w:pPr>
              <w:ind w:left="463" w:right="9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Na wielofunkcyjną infrastrukturę rekreacyjną składa się zaplecze rekreacyjne o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wielofunkcyjnym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charakterze oferujące w szczególności usługi kulturalne i rekreacyjne, z wyjątkiem parków rozrywki i obiektów hotelowych (ust. 3).</w:t>
            </w:r>
          </w:p>
        </w:tc>
        <w:tc>
          <w:tcPr>
            <w:tcW w:w="4819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B10245">
        <w:trPr>
          <w:trHeight w:hRule="exact" w:val="306"/>
        </w:trPr>
        <w:tc>
          <w:tcPr>
            <w:tcW w:w="9248" w:type="dxa"/>
            <w:shd w:val="clear" w:color="auto" w:fill="DADADA"/>
          </w:tcPr>
          <w:p w:rsidR="00A140E8" w:rsidRPr="00A140E8" w:rsidRDefault="00A140E8" w:rsidP="00A140E8">
            <w:pPr>
              <w:spacing w:line="252" w:lineRule="exact"/>
              <w:ind w:left="103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Warunki użytkowania</w:t>
            </w:r>
          </w:p>
        </w:tc>
        <w:tc>
          <w:tcPr>
            <w:tcW w:w="4819" w:type="dxa"/>
            <w:shd w:val="clear" w:color="auto" w:fill="DADAD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A140E8" w:rsidRPr="00A140E8" w:rsidTr="00B10245">
        <w:trPr>
          <w:trHeight w:hRule="exact" w:val="1363"/>
        </w:trPr>
        <w:tc>
          <w:tcPr>
            <w:tcW w:w="9248" w:type="dxa"/>
          </w:tcPr>
          <w:p w:rsidR="00A140E8" w:rsidRPr="00A140E8" w:rsidRDefault="00A140E8" w:rsidP="00427789">
            <w:pPr>
              <w:numPr>
                <w:ilvl w:val="0"/>
                <w:numId w:val="8"/>
              </w:numPr>
              <w:tabs>
                <w:tab w:val="left" w:pos="464"/>
              </w:tabs>
              <w:ind w:right="9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Infrastruktura sportowa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nie może być użytkowana wyłącznie przez jednego użytkownika uprawiającego sport zawodowo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. Wykorzystanie infrastruktury sportowej przez innych użytkowników uprawiających sport zawodowo lub amatorsko stanowi co najmniej 20% jej potencjału czasowego rocznie. Jeżeli z infrastruktury korzysta kilku użytkowników jednocześnie, oblicza się  odpowiednie odsetki wykorzystania potencjału czasowego (ust.</w:t>
            </w:r>
            <w:r w:rsidRPr="00A140E8">
              <w:rPr>
                <w:rFonts w:ascii="Times New Roman" w:eastAsia="Times New Roman" w:hAnsi="Times New Roman" w:cs="Times New Roman"/>
                <w:spacing w:val="-33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2).</w:t>
            </w:r>
          </w:p>
        </w:tc>
        <w:tc>
          <w:tcPr>
            <w:tcW w:w="4819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B10245">
        <w:trPr>
          <w:trHeight w:hRule="exact" w:val="1386"/>
        </w:trPr>
        <w:tc>
          <w:tcPr>
            <w:tcW w:w="9248" w:type="dxa"/>
          </w:tcPr>
          <w:p w:rsidR="00A140E8" w:rsidRPr="00A140E8" w:rsidRDefault="00A140E8" w:rsidP="00A140E8">
            <w:pPr>
              <w:numPr>
                <w:ilvl w:val="0"/>
                <w:numId w:val="7"/>
              </w:numPr>
              <w:tabs>
                <w:tab w:val="left" w:pos="464"/>
              </w:tabs>
              <w:ind w:right="1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Infrastruktura sportowa i wielofunkcyjna infrastruktura rekreacyjna jest udostępniania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szeregowi użytkowników na przejrzystych i niedyskryminacyjnych zasadach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. Przedsiębiorstwom, które finansują co najmniej 30 % kosztów inwestycji w infrastrukturę, można przyznać preferencyjny dostęp na bardziej korzystnych warunkach, o ile wyżej wspomniane warunki są udostępniane publicznie (ust.</w:t>
            </w:r>
            <w:r w:rsidRPr="00A140E8">
              <w:rPr>
                <w:rFonts w:ascii="Times New Roman" w:eastAsia="Times New Roman" w:hAnsi="Times New Roman" w:cs="Times New Roman"/>
                <w:spacing w:val="-2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4).</w:t>
            </w:r>
          </w:p>
        </w:tc>
        <w:tc>
          <w:tcPr>
            <w:tcW w:w="4819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B10245">
        <w:trPr>
          <w:trHeight w:hRule="exact" w:val="785"/>
        </w:trPr>
        <w:tc>
          <w:tcPr>
            <w:tcW w:w="9248" w:type="dxa"/>
          </w:tcPr>
          <w:p w:rsidR="00A140E8" w:rsidRPr="00A140E8" w:rsidRDefault="00A140E8" w:rsidP="00A140E8">
            <w:pPr>
              <w:numPr>
                <w:ilvl w:val="0"/>
                <w:numId w:val="6"/>
              </w:numPr>
              <w:tabs>
                <w:tab w:val="left" w:pos="464"/>
              </w:tabs>
              <w:spacing w:before="15" w:line="254" w:lineRule="exact"/>
              <w:ind w:right="103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Jeżeli z infrastruktury sportowej korzystają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zawodowe kluby sportowe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, państwa członkowskie zapewniają, aby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warunki cenowe za korzystanie z infrastruktury były publicznie przystępne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(ust.</w:t>
            </w:r>
            <w:r w:rsidRPr="00A140E8">
              <w:rPr>
                <w:rFonts w:ascii="Times New Roman" w:eastAsia="Times New Roman" w:hAnsi="Times New Roman" w:cs="Times New Roman"/>
                <w:spacing w:val="-13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5).</w:t>
            </w:r>
          </w:p>
        </w:tc>
        <w:tc>
          <w:tcPr>
            <w:tcW w:w="4819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A140E8" w:rsidRPr="00A140E8" w:rsidTr="00B10245">
        <w:trPr>
          <w:trHeight w:hRule="exact" w:val="1230"/>
        </w:trPr>
        <w:tc>
          <w:tcPr>
            <w:tcW w:w="9248" w:type="dxa"/>
          </w:tcPr>
          <w:p w:rsidR="00A140E8" w:rsidRPr="00A140E8" w:rsidRDefault="00A140E8" w:rsidP="00A140E8">
            <w:pPr>
              <w:numPr>
                <w:ilvl w:val="0"/>
                <w:numId w:val="5"/>
              </w:numPr>
              <w:tabs>
                <w:tab w:val="left" w:pos="463"/>
                <w:tab w:val="left" w:pos="464"/>
              </w:tabs>
              <w:spacing w:line="267" w:lineRule="exact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Wszelkie</w:t>
            </w:r>
            <w:r w:rsidRPr="00A140E8">
              <w:rPr>
                <w:rFonts w:ascii="Times New Roman" w:eastAsia="Times New Roman" w:hAnsi="Times New Roman" w:cs="Times New Roman"/>
                <w:spacing w:val="4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koncesje</w:t>
            </w:r>
            <w:r w:rsidRPr="00A140E8">
              <w:rPr>
                <w:rFonts w:ascii="Times New Roman" w:eastAsia="Times New Roman" w:hAnsi="Times New Roman" w:cs="Times New Roman"/>
                <w:spacing w:val="4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na</w:t>
            </w:r>
            <w:r w:rsidRPr="00A140E8">
              <w:rPr>
                <w:rFonts w:ascii="Times New Roman" w:eastAsia="Times New Roman" w:hAnsi="Times New Roman" w:cs="Times New Roman"/>
                <w:spacing w:val="39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budowę,</w:t>
            </w:r>
            <w:r w:rsidRPr="00A140E8">
              <w:rPr>
                <w:rFonts w:ascii="Times New Roman" w:eastAsia="Times New Roman" w:hAnsi="Times New Roman" w:cs="Times New Roman"/>
                <w:b/>
                <w:spacing w:val="41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modernizację</w:t>
            </w:r>
            <w:r w:rsidRPr="00A140E8">
              <w:rPr>
                <w:rFonts w:ascii="Times New Roman" w:eastAsia="Times New Roman" w:hAnsi="Times New Roman" w:cs="Times New Roman"/>
                <w:b/>
                <w:spacing w:val="4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lub</w:t>
            </w:r>
            <w:r w:rsidRPr="00A140E8">
              <w:rPr>
                <w:rFonts w:ascii="Times New Roman" w:eastAsia="Times New Roman" w:hAnsi="Times New Roman" w:cs="Times New Roman"/>
                <w:b/>
                <w:spacing w:val="41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>prowadzenie</w:t>
            </w:r>
            <w:r w:rsidRPr="00A140E8">
              <w:rPr>
                <w:rFonts w:ascii="Times New Roman" w:eastAsia="Times New Roman" w:hAnsi="Times New Roman" w:cs="Times New Roman"/>
                <w:b/>
                <w:spacing w:val="4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infrastruktury</w:t>
            </w:r>
            <w:r w:rsidR="00B10245">
              <w:rPr>
                <w:rFonts w:ascii="Times New Roman" w:eastAsia="Times New Roman" w:hAnsi="Times New Roman" w:cs="Times New Roman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>sportowej i wielofunkcyjnej infrastruktury rekreacyjnej bądź inne formy powierzenia osobie trzeciej takich zadań udzielane są na otwartych, przejrzystych i niedyskryminacyjnych zasadach, z należytym poszanowaniem obowiązujących zasad udzielania zamówień (ust.</w:t>
            </w:r>
            <w:r w:rsidR="00B10245" w:rsidRPr="00A140E8">
              <w:rPr>
                <w:rFonts w:ascii="Times New Roman" w:eastAsia="Times New Roman" w:hAnsi="Times New Roman" w:cs="Times New Roman"/>
                <w:spacing w:val="-17"/>
                <w:lang w:val="pl-PL"/>
              </w:rPr>
              <w:t xml:space="preserve"> </w:t>
            </w:r>
            <w:r w:rsidR="00B10245" w:rsidRPr="00A140E8">
              <w:rPr>
                <w:rFonts w:ascii="Times New Roman" w:eastAsia="Times New Roman" w:hAnsi="Times New Roman" w:cs="Times New Roman"/>
                <w:lang w:val="pl-PL"/>
              </w:rPr>
              <w:t>6).</w:t>
            </w:r>
          </w:p>
        </w:tc>
        <w:tc>
          <w:tcPr>
            <w:tcW w:w="4819" w:type="dxa"/>
          </w:tcPr>
          <w:p w:rsidR="00A140E8" w:rsidRPr="00A140E8" w:rsidRDefault="00A140E8" w:rsidP="00A140E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B10245" w:rsidRPr="00A140E8" w:rsidTr="00B10245">
        <w:trPr>
          <w:trHeight w:hRule="exact" w:val="289"/>
        </w:trPr>
        <w:tc>
          <w:tcPr>
            <w:tcW w:w="9248" w:type="dxa"/>
            <w:shd w:val="clear" w:color="auto" w:fill="D9D9D9" w:themeFill="background1" w:themeFillShade="D9"/>
          </w:tcPr>
          <w:p w:rsidR="00B10245" w:rsidRPr="00A140E8" w:rsidRDefault="00B10245" w:rsidP="00B10245">
            <w:pPr>
              <w:spacing w:line="252" w:lineRule="exact"/>
              <w:ind w:left="103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Forma pomocy</w:t>
            </w:r>
          </w:p>
        </w:tc>
        <w:tc>
          <w:tcPr>
            <w:tcW w:w="4819" w:type="dxa"/>
          </w:tcPr>
          <w:p w:rsidR="00B10245" w:rsidRPr="00A140E8" w:rsidRDefault="00B10245" w:rsidP="00B10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10245" w:rsidRPr="00A140E8" w:rsidTr="00B10245">
        <w:trPr>
          <w:trHeight w:hRule="exact" w:val="1230"/>
        </w:trPr>
        <w:tc>
          <w:tcPr>
            <w:tcW w:w="9248" w:type="dxa"/>
          </w:tcPr>
          <w:p w:rsidR="00B10245" w:rsidRPr="00A140E8" w:rsidRDefault="00B10245" w:rsidP="00B10245">
            <w:pPr>
              <w:numPr>
                <w:ilvl w:val="0"/>
                <w:numId w:val="4"/>
              </w:numPr>
              <w:tabs>
                <w:tab w:val="left" w:pos="420"/>
              </w:tabs>
              <w:spacing w:line="266" w:lineRule="exact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lastRenderedPageBreak/>
              <w:t xml:space="preserve">Pomoc może przybrać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formę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(ust.</w:t>
            </w:r>
            <w:r w:rsidRPr="00A140E8">
              <w:rPr>
                <w:rFonts w:ascii="Times New Roman" w:eastAsia="Times New Roman" w:hAnsi="Times New Roman" w:cs="Times New Roman"/>
                <w:spacing w:val="-1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7)</w:t>
            </w:r>
          </w:p>
          <w:p w:rsidR="00B10245" w:rsidRPr="00A140E8" w:rsidRDefault="00B10245" w:rsidP="00B10245">
            <w:pPr>
              <w:numPr>
                <w:ilvl w:val="1"/>
                <w:numId w:val="4"/>
              </w:numPr>
              <w:tabs>
                <w:tab w:val="left" w:pos="766"/>
              </w:tabs>
              <w:ind w:right="101" w:hanging="403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 inwestycyjnej, w tym pomocy na budowę lub modernizację infrastruktury sportowej i wielofunkcyjnej infrastruktury</w:t>
            </w:r>
            <w:r w:rsidRPr="00A140E8">
              <w:rPr>
                <w:rFonts w:ascii="Times New Roman" w:eastAsia="Times New Roman" w:hAnsi="Times New Roman" w:cs="Times New Roman"/>
                <w:spacing w:val="-34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rekreacyjnej;</w:t>
            </w:r>
          </w:p>
          <w:p w:rsidR="00B10245" w:rsidRPr="00A140E8" w:rsidRDefault="00B10245" w:rsidP="00B10245">
            <w:pPr>
              <w:numPr>
                <w:ilvl w:val="1"/>
                <w:numId w:val="4"/>
              </w:numPr>
              <w:tabs>
                <w:tab w:val="left" w:pos="659"/>
              </w:tabs>
              <w:ind w:left="658" w:hanging="238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>pomocy inwestycyjnej na infrastrukturę</w:t>
            </w:r>
            <w:r w:rsidRPr="00A140E8">
              <w:rPr>
                <w:rFonts w:ascii="Times New Roman" w:eastAsia="Times New Roman" w:hAnsi="Times New Roman" w:cs="Times New Roman"/>
                <w:spacing w:val="-25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sportową.</w:t>
            </w:r>
          </w:p>
        </w:tc>
        <w:tc>
          <w:tcPr>
            <w:tcW w:w="4819" w:type="dxa"/>
          </w:tcPr>
          <w:p w:rsidR="00B10245" w:rsidRPr="00A140E8" w:rsidRDefault="00B10245" w:rsidP="00B102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B10245" w:rsidRPr="00A140E8" w:rsidTr="00B10245">
        <w:trPr>
          <w:trHeight w:hRule="exact" w:val="338"/>
        </w:trPr>
        <w:tc>
          <w:tcPr>
            <w:tcW w:w="9248" w:type="dxa"/>
            <w:shd w:val="clear" w:color="auto" w:fill="D9D9D9" w:themeFill="background1" w:themeFillShade="D9"/>
          </w:tcPr>
          <w:p w:rsidR="00B10245" w:rsidRPr="00A140E8" w:rsidRDefault="00B10245" w:rsidP="00B10245">
            <w:pPr>
              <w:spacing w:line="252" w:lineRule="exact"/>
              <w:ind w:left="103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Koszty kwalifikowalne</w:t>
            </w:r>
          </w:p>
        </w:tc>
        <w:tc>
          <w:tcPr>
            <w:tcW w:w="4819" w:type="dxa"/>
          </w:tcPr>
          <w:p w:rsidR="00B10245" w:rsidRPr="00A140E8" w:rsidRDefault="00B10245" w:rsidP="00B10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10245" w:rsidRPr="00A140E8" w:rsidTr="00B10245">
        <w:trPr>
          <w:trHeight w:hRule="exact" w:val="2282"/>
        </w:trPr>
        <w:tc>
          <w:tcPr>
            <w:tcW w:w="9248" w:type="dxa"/>
          </w:tcPr>
          <w:p w:rsidR="00B10245" w:rsidRPr="00A140E8" w:rsidRDefault="00B10245" w:rsidP="00B10245">
            <w:pPr>
              <w:numPr>
                <w:ilvl w:val="0"/>
                <w:numId w:val="3"/>
              </w:numPr>
              <w:tabs>
                <w:tab w:val="left" w:pos="464"/>
              </w:tabs>
              <w:spacing w:before="15" w:line="254" w:lineRule="exact"/>
              <w:ind w:right="1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W odniesieniu do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pomocy inwestycyjnej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na infrastrukturę sportową i wielofunkcyjną infrastrukturę rekreacyjną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kosztami kwalifikowalnymi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są koszty inwestycji w rzeczowe aktywa trwałe oraz wartości niematerialne i prawne (ust. 8).</w:t>
            </w:r>
          </w:p>
          <w:p w:rsidR="00B10245" w:rsidRPr="00A140E8" w:rsidRDefault="00B10245" w:rsidP="00B10245">
            <w:pPr>
              <w:numPr>
                <w:ilvl w:val="0"/>
                <w:numId w:val="3"/>
              </w:numPr>
              <w:tabs>
                <w:tab w:val="left" w:pos="464"/>
              </w:tabs>
              <w:ind w:left="462" w:right="99" w:hanging="359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W przypadku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pomocy operacyjnej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na infrastrukturę sportową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kosztami kwalifikowalnymi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są koszty operacyjne świadczenia usług w ramach takiej infrastruktury. Takie koszty operacyjne obejmują koszty, takie jak koszty personelu, materiałów, zakontraktowanych usług, komunikacji, energii, konserwacji, czynszu, administracji itp., lecz nie uwzględniają kosztów amortyzacji i kosztów finansowania, jeśli zostały one objęte zakresem pomocy inwestycyjnej (ust.</w:t>
            </w:r>
            <w:r w:rsidRPr="00A140E8">
              <w:rPr>
                <w:rFonts w:ascii="Times New Roman" w:eastAsia="Times New Roman" w:hAnsi="Times New Roman" w:cs="Times New Roman"/>
                <w:spacing w:val="-10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9).</w:t>
            </w:r>
          </w:p>
        </w:tc>
        <w:tc>
          <w:tcPr>
            <w:tcW w:w="4819" w:type="dxa"/>
          </w:tcPr>
          <w:p w:rsidR="00B10245" w:rsidRPr="00A140E8" w:rsidRDefault="00B10245" w:rsidP="00B102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B10245" w:rsidRPr="00A140E8" w:rsidTr="00B10245">
        <w:trPr>
          <w:trHeight w:hRule="exact" w:val="317"/>
        </w:trPr>
        <w:tc>
          <w:tcPr>
            <w:tcW w:w="9248" w:type="dxa"/>
            <w:shd w:val="clear" w:color="auto" w:fill="D9D9D9" w:themeFill="background1" w:themeFillShade="D9"/>
          </w:tcPr>
          <w:p w:rsidR="00B10245" w:rsidRPr="00A140E8" w:rsidRDefault="00B10245" w:rsidP="00B10245">
            <w:pPr>
              <w:spacing w:line="252" w:lineRule="exact"/>
              <w:ind w:left="103"/>
              <w:rPr>
                <w:rFonts w:ascii="Times New Roman" w:eastAsia="Times New Roman" w:hAnsi="Times New Roman" w:cs="Times New Roman"/>
                <w:b/>
              </w:rPr>
            </w:pPr>
            <w:r w:rsidRPr="00A140E8">
              <w:rPr>
                <w:rFonts w:ascii="Times New Roman" w:eastAsia="Times New Roman" w:hAnsi="Times New Roman" w:cs="Times New Roman"/>
                <w:b/>
              </w:rPr>
              <w:t>Maksymalny próg pomocy</w:t>
            </w:r>
          </w:p>
        </w:tc>
        <w:tc>
          <w:tcPr>
            <w:tcW w:w="4819" w:type="dxa"/>
          </w:tcPr>
          <w:p w:rsidR="00B10245" w:rsidRPr="00A140E8" w:rsidRDefault="00B10245" w:rsidP="00B10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10245" w:rsidRPr="00A140E8" w:rsidTr="00B10245">
        <w:trPr>
          <w:trHeight w:hRule="exact" w:val="1839"/>
        </w:trPr>
        <w:tc>
          <w:tcPr>
            <w:tcW w:w="9248" w:type="dxa"/>
          </w:tcPr>
          <w:p w:rsidR="00B10245" w:rsidRPr="00A140E8" w:rsidRDefault="00B10245" w:rsidP="00B10245">
            <w:pPr>
              <w:numPr>
                <w:ilvl w:val="0"/>
                <w:numId w:val="2"/>
              </w:numPr>
              <w:tabs>
                <w:tab w:val="left" w:pos="464"/>
              </w:tabs>
              <w:ind w:right="1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W przypadku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pomocy inwestycyjnej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na infrastrukturę sportową i wielofunkcyjną infrastrukturę rekreacyjną kwota pomocy nie przekracza różnicy między kosztami kwalifikowalnymi a zyskiem operacyjnym z inwestycji. Zysk operacyjny odlicza się od kosztów kwalifikowalnych </w:t>
            </w:r>
            <w:r w:rsidRPr="00A140E8">
              <w:rPr>
                <w:rFonts w:ascii="Times New Roman" w:eastAsia="Times New Roman" w:hAnsi="Times New Roman" w:cs="Times New Roman"/>
                <w:i/>
                <w:lang w:val="pl-PL"/>
              </w:rPr>
              <w:t>ex ante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, na podstawie rozsądnych prognoz, albo poprzez mechanizm wycofania (ust.</w:t>
            </w:r>
            <w:r w:rsidRPr="00A140E8">
              <w:rPr>
                <w:rFonts w:ascii="Times New Roman" w:eastAsia="Times New Roman" w:hAnsi="Times New Roman" w:cs="Times New Roman"/>
                <w:spacing w:val="-18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10).</w:t>
            </w:r>
          </w:p>
          <w:p w:rsidR="00B10245" w:rsidRPr="00A140E8" w:rsidRDefault="00B10245" w:rsidP="00B10245">
            <w:pPr>
              <w:numPr>
                <w:ilvl w:val="0"/>
                <w:numId w:val="2"/>
              </w:numPr>
              <w:tabs>
                <w:tab w:val="left" w:pos="464"/>
              </w:tabs>
              <w:ind w:right="100"/>
              <w:jc w:val="both"/>
              <w:rPr>
                <w:rFonts w:ascii="Times New Roman" w:eastAsia="Times New Roman" w:hAnsi="Times New Roman" w:cs="Times New Roman"/>
                <w:lang w:val="pl-PL"/>
              </w:rPr>
            </w:pP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W przypadku </w:t>
            </w:r>
            <w:r w:rsidRPr="00A140E8">
              <w:rPr>
                <w:rFonts w:ascii="Times New Roman" w:eastAsia="Times New Roman" w:hAnsi="Times New Roman" w:cs="Times New Roman"/>
                <w:b/>
                <w:lang w:val="pl-PL"/>
              </w:rPr>
              <w:t xml:space="preserve">pomocy operacyjnej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 xml:space="preserve">na infrastrukturę sportową kwota pomocy nie przekracza strat operacyjnych w odnośnym okresie. Powyższe należy zapewnić na zasadzie </w:t>
            </w:r>
            <w:r w:rsidRPr="00A140E8">
              <w:rPr>
                <w:rFonts w:ascii="Times New Roman" w:eastAsia="Times New Roman" w:hAnsi="Times New Roman" w:cs="Times New Roman"/>
                <w:i/>
                <w:lang w:val="pl-PL"/>
              </w:rPr>
              <w:t>ex ante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, na podstawie rozsądnych prognoz, lub przy zastosowaniu mechanizmu wycofania (ust.</w:t>
            </w:r>
            <w:r w:rsidRPr="00A140E8">
              <w:rPr>
                <w:rFonts w:ascii="Times New Roman" w:eastAsia="Times New Roman" w:hAnsi="Times New Roman" w:cs="Times New Roman"/>
                <w:spacing w:val="-16"/>
                <w:lang w:val="pl-PL"/>
              </w:rPr>
              <w:t xml:space="preserve"> </w:t>
            </w:r>
            <w:r w:rsidRPr="00A140E8">
              <w:rPr>
                <w:rFonts w:ascii="Times New Roman" w:eastAsia="Times New Roman" w:hAnsi="Times New Roman" w:cs="Times New Roman"/>
                <w:lang w:val="pl-PL"/>
              </w:rPr>
              <w:t>11).</w:t>
            </w:r>
          </w:p>
        </w:tc>
        <w:tc>
          <w:tcPr>
            <w:tcW w:w="4819" w:type="dxa"/>
          </w:tcPr>
          <w:p w:rsidR="00B10245" w:rsidRPr="00A140E8" w:rsidRDefault="00B10245" w:rsidP="00B102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B10245" w:rsidRPr="00A140E8" w:rsidTr="00B10245">
        <w:trPr>
          <w:trHeight w:hRule="exact" w:val="986"/>
        </w:trPr>
        <w:tc>
          <w:tcPr>
            <w:tcW w:w="9248" w:type="dxa"/>
          </w:tcPr>
          <w:p w:rsidR="00B10245" w:rsidRPr="00A140E8" w:rsidRDefault="00B10245" w:rsidP="00B10245">
            <w:pPr>
              <w:numPr>
                <w:ilvl w:val="0"/>
                <w:numId w:val="2"/>
              </w:numPr>
              <w:tabs>
                <w:tab w:val="left" w:pos="464"/>
              </w:tabs>
              <w:spacing w:before="2"/>
              <w:ind w:right="105"/>
              <w:jc w:val="both"/>
              <w:rPr>
                <w:rFonts w:ascii="Times New Roman" w:hAnsi="Times New Roman" w:cs="Times New Roman"/>
                <w:lang w:val="pl-PL"/>
              </w:rPr>
            </w:pPr>
            <w:r w:rsidRPr="00A140E8">
              <w:rPr>
                <w:rFonts w:ascii="Times New Roman" w:hAnsi="Times New Roman" w:cs="Times New Roman"/>
                <w:lang w:val="pl-PL"/>
              </w:rPr>
              <w:t xml:space="preserve">W przypadku </w:t>
            </w:r>
            <w:r w:rsidRPr="00A140E8">
              <w:rPr>
                <w:rFonts w:ascii="Times New Roman" w:hAnsi="Times New Roman" w:cs="Times New Roman"/>
                <w:b/>
                <w:lang w:val="pl-PL"/>
              </w:rPr>
              <w:t>pomocy nieprzekraczającej 1 mln EUR</w:t>
            </w:r>
            <w:r w:rsidRPr="00A140E8">
              <w:rPr>
                <w:rFonts w:ascii="Times New Roman" w:hAnsi="Times New Roman" w:cs="Times New Roman"/>
                <w:lang w:val="pl-PL"/>
              </w:rPr>
              <w:t>, maksymalną kwotę pomocy można ustalić, alternatywnie wobec metody, o której mowa w ust. 10 i 11, na poziomie 80 % kosztów kwalifikowalnych (ust.</w:t>
            </w:r>
            <w:r w:rsidRPr="00A140E8">
              <w:rPr>
                <w:rFonts w:ascii="Times New Roman" w:hAnsi="Times New Roman" w:cs="Times New Roman"/>
                <w:spacing w:val="-26"/>
                <w:lang w:val="pl-PL"/>
              </w:rPr>
              <w:t xml:space="preserve"> </w:t>
            </w:r>
            <w:r w:rsidRPr="00A140E8">
              <w:rPr>
                <w:rFonts w:ascii="Times New Roman" w:hAnsi="Times New Roman" w:cs="Times New Roman"/>
                <w:lang w:val="pl-PL"/>
              </w:rPr>
              <w:t>12).</w:t>
            </w:r>
          </w:p>
        </w:tc>
        <w:tc>
          <w:tcPr>
            <w:tcW w:w="4819" w:type="dxa"/>
          </w:tcPr>
          <w:p w:rsidR="00B10245" w:rsidRPr="00A140E8" w:rsidRDefault="00B10245" w:rsidP="00B102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</w:tbl>
    <w:p w:rsidR="00B10245" w:rsidRDefault="00B10245" w:rsidP="00A140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10245" w:rsidRDefault="00B10245" w:rsidP="00B1024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17465" w:rsidRPr="00A140E8" w:rsidRDefault="00B10245" w:rsidP="00B10245">
      <w:pPr>
        <w:tabs>
          <w:tab w:val="left" w:pos="1965"/>
        </w:tabs>
        <w:rPr>
          <w:rFonts w:ascii="Arial Narrow" w:eastAsia="Times New Roman" w:hAnsi="Arial Narrow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sectPr w:rsidR="00117465" w:rsidRPr="00A140E8" w:rsidSect="00A140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67E" w:rsidRDefault="003A167E">
      <w:pPr>
        <w:spacing w:after="0" w:line="240" w:lineRule="auto"/>
      </w:pPr>
      <w:r>
        <w:separator/>
      </w:r>
    </w:p>
  </w:endnote>
  <w:endnote w:type="continuationSeparator" w:id="0">
    <w:p w:rsidR="003A167E" w:rsidRDefault="003A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858047"/>
      <w:docPartObj>
        <w:docPartGallery w:val="Page Numbers (Bottom of Page)"/>
        <w:docPartUnique/>
      </w:docPartObj>
    </w:sdtPr>
    <w:sdtEndPr/>
    <w:sdtContent>
      <w:p w:rsidR="007848C4" w:rsidRDefault="0042778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3DF">
          <w:rPr>
            <w:noProof/>
          </w:rPr>
          <w:t>8</w:t>
        </w:r>
        <w:r>
          <w:fldChar w:fldCharType="end"/>
        </w:r>
      </w:p>
    </w:sdtContent>
  </w:sdt>
  <w:p w:rsidR="007848C4" w:rsidRDefault="003A167E">
    <w:pPr>
      <w:pStyle w:val="Tekstpodstawowy"/>
      <w:spacing w:line="14" w:lineRule="auto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67E" w:rsidRDefault="003A167E">
      <w:pPr>
        <w:spacing w:after="0" w:line="240" w:lineRule="auto"/>
      </w:pPr>
      <w:r>
        <w:separator/>
      </w:r>
    </w:p>
  </w:footnote>
  <w:footnote w:type="continuationSeparator" w:id="0">
    <w:p w:rsidR="003A167E" w:rsidRDefault="003A1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8C4" w:rsidRPr="00CD099E" w:rsidRDefault="003A167E" w:rsidP="00CD09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040B9"/>
    <w:multiLevelType w:val="hybridMultilevel"/>
    <w:tmpl w:val="7C4E40DA"/>
    <w:lvl w:ilvl="0" w:tplc="4B6CC8CA">
      <w:start w:val="1"/>
      <w:numFmt w:val="bullet"/>
      <w:lvlText w:val=""/>
      <w:lvlJc w:val="left"/>
      <w:pPr>
        <w:ind w:left="430" w:hanging="328"/>
      </w:pPr>
      <w:rPr>
        <w:rFonts w:ascii="Symbol" w:eastAsia="Symbol" w:hAnsi="Symbol" w:cs="Symbol" w:hint="default"/>
        <w:w w:val="99"/>
        <w:sz w:val="22"/>
        <w:szCs w:val="22"/>
      </w:rPr>
    </w:lvl>
    <w:lvl w:ilvl="1" w:tplc="6E5C339C">
      <w:start w:val="1"/>
      <w:numFmt w:val="lowerLetter"/>
      <w:lvlText w:val="%2."/>
      <w:lvlJc w:val="left"/>
      <w:pPr>
        <w:ind w:left="856" w:hanging="393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596280AC">
      <w:start w:val="1"/>
      <w:numFmt w:val="bullet"/>
      <w:lvlText w:val="•"/>
      <w:lvlJc w:val="left"/>
      <w:pPr>
        <w:ind w:left="1678" w:hanging="393"/>
      </w:pPr>
      <w:rPr>
        <w:rFonts w:hint="default"/>
      </w:rPr>
    </w:lvl>
    <w:lvl w:ilvl="3" w:tplc="C50CD42E">
      <w:start w:val="1"/>
      <w:numFmt w:val="bullet"/>
      <w:lvlText w:val="•"/>
      <w:lvlJc w:val="left"/>
      <w:pPr>
        <w:ind w:left="2496" w:hanging="393"/>
      </w:pPr>
      <w:rPr>
        <w:rFonts w:hint="default"/>
      </w:rPr>
    </w:lvl>
    <w:lvl w:ilvl="4" w:tplc="95BE3CD8">
      <w:start w:val="1"/>
      <w:numFmt w:val="bullet"/>
      <w:lvlText w:val="•"/>
      <w:lvlJc w:val="left"/>
      <w:pPr>
        <w:ind w:left="3314" w:hanging="393"/>
      </w:pPr>
      <w:rPr>
        <w:rFonts w:hint="default"/>
      </w:rPr>
    </w:lvl>
    <w:lvl w:ilvl="5" w:tplc="B4385712">
      <w:start w:val="1"/>
      <w:numFmt w:val="bullet"/>
      <w:lvlText w:val="•"/>
      <w:lvlJc w:val="left"/>
      <w:pPr>
        <w:ind w:left="4132" w:hanging="393"/>
      </w:pPr>
      <w:rPr>
        <w:rFonts w:hint="default"/>
      </w:rPr>
    </w:lvl>
    <w:lvl w:ilvl="6" w:tplc="C7B4EEC6">
      <w:start w:val="1"/>
      <w:numFmt w:val="bullet"/>
      <w:lvlText w:val="•"/>
      <w:lvlJc w:val="left"/>
      <w:pPr>
        <w:ind w:left="4950" w:hanging="393"/>
      </w:pPr>
      <w:rPr>
        <w:rFonts w:hint="default"/>
      </w:rPr>
    </w:lvl>
    <w:lvl w:ilvl="7" w:tplc="C1929F7E">
      <w:start w:val="1"/>
      <w:numFmt w:val="bullet"/>
      <w:lvlText w:val="•"/>
      <w:lvlJc w:val="left"/>
      <w:pPr>
        <w:ind w:left="5769" w:hanging="393"/>
      </w:pPr>
      <w:rPr>
        <w:rFonts w:hint="default"/>
      </w:rPr>
    </w:lvl>
    <w:lvl w:ilvl="8" w:tplc="12AE1CA4">
      <w:start w:val="1"/>
      <w:numFmt w:val="bullet"/>
      <w:lvlText w:val="•"/>
      <w:lvlJc w:val="left"/>
      <w:pPr>
        <w:ind w:left="6587" w:hanging="393"/>
      </w:pPr>
      <w:rPr>
        <w:rFonts w:hint="default"/>
      </w:rPr>
    </w:lvl>
  </w:abstractNum>
  <w:abstractNum w:abstractNumId="1" w15:restartNumberingAfterBreak="0">
    <w:nsid w:val="067E3072"/>
    <w:multiLevelType w:val="hybridMultilevel"/>
    <w:tmpl w:val="6E42540A"/>
    <w:lvl w:ilvl="0" w:tplc="5EE04168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9FF64A02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A7B20992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A1DC06D4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4712DB60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A4DC0668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068A474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DFE85C6A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C9F8D22A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2" w15:restartNumberingAfterBreak="0">
    <w:nsid w:val="077C4E43"/>
    <w:multiLevelType w:val="hybridMultilevel"/>
    <w:tmpl w:val="290037E0"/>
    <w:lvl w:ilvl="0" w:tplc="108C1EF2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8B84E7A0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716A8542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CD5AA20C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18805D96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B3462C8C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5ECAF346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80C44708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5F9A009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3" w15:restartNumberingAfterBreak="0">
    <w:nsid w:val="0D5C3E86"/>
    <w:multiLevelType w:val="hybridMultilevel"/>
    <w:tmpl w:val="915265A4"/>
    <w:lvl w:ilvl="0" w:tplc="C0B6783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60C62534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C3B448DC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9DBCCEB2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163670F2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5B86BA2A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64DA85E0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60D2C3AE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8F58CA4C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4" w15:restartNumberingAfterBreak="0">
    <w:nsid w:val="16974782"/>
    <w:multiLevelType w:val="hybridMultilevel"/>
    <w:tmpl w:val="142417B4"/>
    <w:lvl w:ilvl="0" w:tplc="C5BA0CA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198CEBE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D474E9AE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56FA3CD6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42BA5C2C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9F46A7A8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713226FA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942CE388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93E64386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5" w15:restartNumberingAfterBreak="0">
    <w:nsid w:val="18687355"/>
    <w:multiLevelType w:val="hybridMultilevel"/>
    <w:tmpl w:val="9B3A7C24"/>
    <w:lvl w:ilvl="0" w:tplc="DA822BC2">
      <w:start w:val="1"/>
      <w:numFmt w:val="upperLetter"/>
      <w:lvlText w:val="%1."/>
      <w:lvlJc w:val="left"/>
      <w:pPr>
        <w:ind w:left="6473" w:hanging="269"/>
        <w:jc w:val="right"/>
      </w:pPr>
      <w:rPr>
        <w:rFonts w:hint="default"/>
        <w:spacing w:val="-1"/>
        <w:w w:val="99"/>
        <w:u w:val="thick" w:color="000000"/>
      </w:rPr>
    </w:lvl>
    <w:lvl w:ilvl="1" w:tplc="00121768">
      <w:start w:val="1"/>
      <w:numFmt w:val="bullet"/>
      <w:lvlText w:val="•"/>
      <w:lvlJc w:val="left"/>
      <w:pPr>
        <w:ind w:left="7316" w:hanging="269"/>
      </w:pPr>
      <w:rPr>
        <w:rFonts w:hint="default"/>
      </w:rPr>
    </w:lvl>
    <w:lvl w:ilvl="2" w:tplc="3F1695D6">
      <w:start w:val="1"/>
      <w:numFmt w:val="bullet"/>
      <w:lvlText w:val="•"/>
      <w:lvlJc w:val="left"/>
      <w:pPr>
        <w:ind w:left="8152" w:hanging="269"/>
      </w:pPr>
      <w:rPr>
        <w:rFonts w:hint="default"/>
      </w:rPr>
    </w:lvl>
    <w:lvl w:ilvl="3" w:tplc="B0A8CE5A">
      <w:start w:val="1"/>
      <w:numFmt w:val="bullet"/>
      <w:lvlText w:val="•"/>
      <w:lvlJc w:val="left"/>
      <w:pPr>
        <w:ind w:left="8988" w:hanging="269"/>
      </w:pPr>
      <w:rPr>
        <w:rFonts w:hint="default"/>
      </w:rPr>
    </w:lvl>
    <w:lvl w:ilvl="4" w:tplc="DE7CC0B4">
      <w:start w:val="1"/>
      <w:numFmt w:val="bullet"/>
      <w:lvlText w:val="•"/>
      <w:lvlJc w:val="left"/>
      <w:pPr>
        <w:ind w:left="9824" w:hanging="269"/>
      </w:pPr>
      <w:rPr>
        <w:rFonts w:hint="default"/>
      </w:rPr>
    </w:lvl>
    <w:lvl w:ilvl="5" w:tplc="61265E24">
      <w:start w:val="1"/>
      <w:numFmt w:val="bullet"/>
      <w:lvlText w:val="•"/>
      <w:lvlJc w:val="left"/>
      <w:pPr>
        <w:ind w:left="10660" w:hanging="269"/>
      </w:pPr>
      <w:rPr>
        <w:rFonts w:hint="default"/>
      </w:rPr>
    </w:lvl>
    <w:lvl w:ilvl="6" w:tplc="EB04AD84">
      <w:start w:val="1"/>
      <w:numFmt w:val="bullet"/>
      <w:lvlText w:val="•"/>
      <w:lvlJc w:val="left"/>
      <w:pPr>
        <w:ind w:left="11496" w:hanging="269"/>
      </w:pPr>
      <w:rPr>
        <w:rFonts w:hint="default"/>
      </w:rPr>
    </w:lvl>
    <w:lvl w:ilvl="7" w:tplc="14927DFA">
      <w:start w:val="1"/>
      <w:numFmt w:val="bullet"/>
      <w:lvlText w:val="•"/>
      <w:lvlJc w:val="left"/>
      <w:pPr>
        <w:ind w:left="12332" w:hanging="269"/>
      </w:pPr>
      <w:rPr>
        <w:rFonts w:hint="default"/>
      </w:rPr>
    </w:lvl>
    <w:lvl w:ilvl="8" w:tplc="56848E42">
      <w:start w:val="1"/>
      <w:numFmt w:val="bullet"/>
      <w:lvlText w:val="•"/>
      <w:lvlJc w:val="left"/>
      <w:pPr>
        <w:ind w:left="13168" w:hanging="269"/>
      </w:pPr>
      <w:rPr>
        <w:rFonts w:hint="default"/>
      </w:rPr>
    </w:lvl>
  </w:abstractNum>
  <w:abstractNum w:abstractNumId="6" w15:restartNumberingAfterBreak="0">
    <w:nsid w:val="25F42F06"/>
    <w:multiLevelType w:val="hybridMultilevel"/>
    <w:tmpl w:val="4552B166"/>
    <w:lvl w:ilvl="0" w:tplc="26AAC786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EFEA7446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430CB802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D4AC86F4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BEF08D7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FBF8F40C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10002BC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B1849A30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9A6214E4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abstractNum w:abstractNumId="7" w15:restartNumberingAfterBreak="0">
    <w:nsid w:val="26106587"/>
    <w:multiLevelType w:val="hybridMultilevel"/>
    <w:tmpl w:val="703C4832"/>
    <w:lvl w:ilvl="0" w:tplc="F84ADA5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F16AF8E6">
      <w:start w:val="1"/>
      <w:numFmt w:val="lowerLetter"/>
      <w:lvlText w:val="%2)"/>
      <w:lvlJc w:val="left"/>
      <w:pPr>
        <w:ind w:left="822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1F881472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D9226E4A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4" w:tplc="6960194C">
      <w:start w:val="1"/>
      <w:numFmt w:val="bullet"/>
      <w:lvlText w:val="•"/>
      <w:lvlJc w:val="left"/>
      <w:pPr>
        <w:ind w:left="3287" w:hanging="360"/>
      </w:pPr>
      <w:rPr>
        <w:rFonts w:hint="default"/>
      </w:rPr>
    </w:lvl>
    <w:lvl w:ilvl="5" w:tplc="C33C4D66">
      <w:start w:val="1"/>
      <w:numFmt w:val="bullet"/>
      <w:lvlText w:val="•"/>
      <w:lvlJc w:val="left"/>
      <w:pPr>
        <w:ind w:left="4110" w:hanging="360"/>
      </w:pPr>
      <w:rPr>
        <w:rFonts w:hint="default"/>
      </w:rPr>
    </w:lvl>
    <w:lvl w:ilvl="6" w:tplc="BF48AD56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7" w:tplc="5116396E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8" w:tplc="7DB89C04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</w:abstractNum>
  <w:abstractNum w:abstractNumId="8" w15:restartNumberingAfterBreak="0">
    <w:nsid w:val="2A194797"/>
    <w:multiLevelType w:val="hybridMultilevel"/>
    <w:tmpl w:val="4016E176"/>
    <w:lvl w:ilvl="0" w:tplc="31FC09EC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0708F626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AFB8AD3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BBB22DC8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9AD66C8A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440CF5A2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0C324AF2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8026CF66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332457F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9" w15:restartNumberingAfterBreak="0">
    <w:nsid w:val="2A7A4D8F"/>
    <w:multiLevelType w:val="hybridMultilevel"/>
    <w:tmpl w:val="6F08EF0A"/>
    <w:lvl w:ilvl="0" w:tplc="F84623EE">
      <w:start w:val="1"/>
      <w:numFmt w:val="bullet"/>
      <w:lvlText w:val="-"/>
      <w:lvlJc w:val="left"/>
      <w:pPr>
        <w:ind w:left="823" w:hanging="325"/>
      </w:pPr>
      <w:rPr>
        <w:rFonts w:ascii="Times New Roman" w:eastAsia="Times New Roman" w:hAnsi="Times New Roman" w:cs="Times New Roman" w:hint="default"/>
        <w:w w:val="99"/>
        <w:sz w:val="22"/>
        <w:szCs w:val="22"/>
      </w:rPr>
    </w:lvl>
    <w:lvl w:ilvl="1" w:tplc="BB2ACA82">
      <w:start w:val="1"/>
      <w:numFmt w:val="bullet"/>
      <w:lvlText w:val="•"/>
      <w:lvlJc w:val="left"/>
      <w:pPr>
        <w:ind w:left="1560" w:hanging="325"/>
      </w:pPr>
      <w:rPr>
        <w:rFonts w:hint="default"/>
      </w:rPr>
    </w:lvl>
    <w:lvl w:ilvl="2" w:tplc="97984B94">
      <w:start w:val="1"/>
      <w:numFmt w:val="bullet"/>
      <w:lvlText w:val="•"/>
      <w:lvlJc w:val="left"/>
      <w:pPr>
        <w:ind w:left="2300" w:hanging="325"/>
      </w:pPr>
      <w:rPr>
        <w:rFonts w:hint="default"/>
      </w:rPr>
    </w:lvl>
    <w:lvl w:ilvl="3" w:tplc="FC90E530">
      <w:start w:val="1"/>
      <w:numFmt w:val="bullet"/>
      <w:lvlText w:val="•"/>
      <w:lvlJc w:val="left"/>
      <w:pPr>
        <w:ind w:left="3041" w:hanging="325"/>
      </w:pPr>
      <w:rPr>
        <w:rFonts w:hint="default"/>
      </w:rPr>
    </w:lvl>
    <w:lvl w:ilvl="4" w:tplc="F856A5DE">
      <w:start w:val="1"/>
      <w:numFmt w:val="bullet"/>
      <w:lvlText w:val="•"/>
      <w:lvlJc w:val="left"/>
      <w:pPr>
        <w:ind w:left="3781" w:hanging="325"/>
      </w:pPr>
      <w:rPr>
        <w:rFonts w:hint="default"/>
      </w:rPr>
    </w:lvl>
    <w:lvl w:ilvl="5" w:tplc="D256B698">
      <w:start w:val="1"/>
      <w:numFmt w:val="bullet"/>
      <w:lvlText w:val="•"/>
      <w:lvlJc w:val="left"/>
      <w:pPr>
        <w:ind w:left="4521" w:hanging="325"/>
      </w:pPr>
      <w:rPr>
        <w:rFonts w:hint="default"/>
      </w:rPr>
    </w:lvl>
    <w:lvl w:ilvl="6" w:tplc="770A14AC">
      <w:start w:val="1"/>
      <w:numFmt w:val="bullet"/>
      <w:lvlText w:val="•"/>
      <w:lvlJc w:val="left"/>
      <w:pPr>
        <w:ind w:left="5262" w:hanging="325"/>
      </w:pPr>
      <w:rPr>
        <w:rFonts w:hint="default"/>
      </w:rPr>
    </w:lvl>
    <w:lvl w:ilvl="7" w:tplc="8346B6A2">
      <w:start w:val="1"/>
      <w:numFmt w:val="bullet"/>
      <w:lvlText w:val="•"/>
      <w:lvlJc w:val="left"/>
      <w:pPr>
        <w:ind w:left="6002" w:hanging="325"/>
      </w:pPr>
      <w:rPr>
        <w:rFonts w:hint="default"/>
      </w:rPr>
    </w:lvl>
    <w:lvl w:ilvl="8" w:tplc="EE2E187A">
      <w:start w:val="1"/>
      <w:numFmt w:val="bullet"/>
      <w:lvlText w:val="•"/>
      <w:lvlJc w:val="left"/>
      <w:pPr>
        <w:ind w:left="6742" w:hanging="325"/>
      </w:pPr>
      <w:rPr>
        <w:rFonts w:hint="default"/>
      </w:rPr>
    </w:lvl>
  </w:abstractNum>
  <w:abstractNum w:abstractNumId="10" w15:restartNumberingAfterBreak="0">
    <w:nsid w:val="34487D47"/>
    <w:multiLevelType w:val="hybridMultilevel"/>
    <w:tmpl w:val="A920C36A"/>
    <w:lvl w:ilvl="0" w:tplc="691A60DE">
      <w:start w:val="1"/>
      <w:numFmt w:val="bullet"/>
      <w:lvlText w:val=""/>
      <w:lvlJc w:val="left"/>
      <w:pPr>
        <w:ind w:left="420" w:hanging="284"/>
      </w:pPr>
      <w:rPr>
        <w:rFonts w:ascii="Symbol" w:eastAsia="Symbol" w:hAnsi="Symbol" w:cs="Symbol" w:hint="default"/>
        <w:w w:val="99"/>
        <w:sz w:val="22"/>
        <w:szCs w:val="22"/>
      </w:rPr>
    </w:lvl>
    <w:lvl w:ilvl="1" w:tplc="BF0E1EA6">
      <w:start w:val="1"/>
      <w:numFmt w:val="lowerLetter"/>
      <w:lvlText w:val="%2)"/>
      <w:lvlJc w:val="left"/>
      <w:pPr>
        <w:ind w:left="823" w:hanging="346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0F22E3DC">
      <w:start w:val="1"/>
      <w:numFmt w:val="bullet"/>
      <w:lvlText w:val="•"/>
      <w:lvlJc w:val="left"/>
      <w:pPr>
        <w:ind w:left="1599" w:hanging="346"/>
      </w:pPr>
      <w:rPr>
        <w:rFonts w:hint="default"/>
      </w:rPr>
    </w:lvl>
    <w:lvl w:ilvl="3" w:tplc="1854BD0C">
      <w:start w:val="1"/>
      <w:numFmt w:val="bullet"/>
      <w:lvlText w:val="•"/>
      <w:lvlJc w:val="left"/>
      <w:pPr>
        <w:ind w:left="2379" w:hanging="346"/>
      </w:pPr>
      <w:rPr>
        <w:rFonts w:hint="default"/>
      </w:rPr>
    </w:lvl>
    <w:lvl w:ilvl="4" w:tplc="F87C5772">
      <w:start w:val="1"/>
      <w:numFmt w:val="bullet"/>
      <w:lvlText w:val="•"/>
      <w:lvlJc w:val="left"/>
      <w:pPr>
        <w:ind w:left="3159" w:hanging="346"/>
      </w:pPr>
      <w:rPr>
        <w:rFonts w:hint="default"/>
      </w:rPr>
    </w:lvl>
    <w:lvl w:ilvl="5" w:tplc="0F78E030">
      <w:start w:val="1"/>
      <w:numFmt w:val="bullet"/>
      <w:lvlText w:val="•"/>
      <w:lvlJc w:val="left"/>
      <w:pPr>
        <w:ind w:left="3938" w:hanging="346"/>
      </w:pPr>
      <w:rPr>
        <w:rFonts w:hint="default"/>
      </w:rPr>
    </w:lvl>
    <w:lvl w:ilvl="6" w:tplc="2FA63818">
      <w:start w:val="1"/>
      <w:numFmt w:val="bullet"/>
      <w:lvlText w:val="•"/>
      <w:lvlJc w:val="left"/>
      <w:pPr>
        <w:ind w:left="4718" w:hanging="346"/>
      </w:pPr>
      <w:rPr>
        <w:rFonts w:hint="default"/>
      </w:rPr>
    </w:lvl>
    <w:lvl w:ilvl="7" w:tplc="808268E0">
      <w:start w:val="1"/>
      <w:numFmt w:val="bullet"/>
      <w:lvlText w:val="•"/>
      <w:lvlJc w:val="left"/>
      <w:pPr>
        <w:ind w:left="5498" w:hanging="346"/>
      </w:pPr>
      <w:rPr>
        <w:rFonts w:hint="default"/>
      </w:rPr>
    </w:lvl>
    <w:lvl w:ilvl="8" w:tplc="BA96BAC0">
      <w:start w:val="1"/>
      <w:numFmt w:val="bullet"/>
      <w:lvlText w:val="•"/>
      <w:lvlJc w:val="left"/>
      <w:pPr>
        <w:ind w:left="6277" w:hanging="346"/>
      </w:pPr>
      <w:rPr>
        <w:rFonts w:hint="default"/>
      </w:rPr>
    </w:lvl>
  </w:abstractNum>
  <w:abstractNum w:abstractNumId="11" w15:restartNumberingAfterBreak="0">
    <w:nsid w:val="34F84D72"/>
    <w:multiLevelType w:val="hybridMultilevel"/>
    <w:tmpl w:val="83329FD8"/>
    <w:lvl w:ilvl="0" w:tplc="C1E64510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E1B0B54E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2" w:tplc="283CED80">
      <w:start w:val="1"/>
      <w:numFmt w:val="bullet"/>
      <w:lvlText w:val="•"/>
      <w:lvlJc w:val="left"/>
      <w:pPr>
        <w:ind w:left="1937" w:hanging="360"/>
      </w:pPr>
      <w:rPr>
        <w:rFonts w:hint="default"/>
      </w:rPr>
    </w:lvl>
    <w:lvl w:ilvl="3" w:tplc="02F27898">
      <w:start w:val="1"/>
      <w:numFmt w:val="bullet"/>
      <w:lvlText w:val="•"/>
      <w:lvlJc w:val="left"/>
      <w:pPr>
        <w:ind w:left="2676" w:hanging="360"/>
      </w:pPr>
      <w:rPr>
        <w:rFonts w:hint="default"/>
      </w:rPr>
    </w:lvl>
    <w:lvl w:ilvl="4" w:tplc="BE28936A">
      <w:start w:val="1"/>
      <w:numFmt w:val="bullet"/>
      <w:lvlText w:val="•"/>
      <w:lvlJc w:val="left"/>
      <w:pPr>
        <w:ind w:left="3414" w:hanging="360"/>
      </w:pPr>
      <w:rPr>
        <w:rFonts w:hint="default"/>
      </w:rPr>
    </w:lvl>
    <w:lvl w:ilvl="5" w:tplc="B9C07B32">
      <w:start w:val="1"/>
      <w:numFmt w:val="bullet"/>
      <w:lvlText w:val="•"/>
      <w:lvlJc w:val="left"/>
      <w:pPr>
        <w:ind w:left="4153" w:hanging="360"/>
      </w:pPr>
      <w:rPr>
        <w:rFonts w:hint="default"/>
      </w:rPr>
    </w:lvl>
    <w:lvl w:ilvl="6" w:tplc="B65EA762">
      <w:start w:val="1"/>
      <w:numFmt w:val="bullet"/>
      <w:lvlText w:val="•"/>
      <w:lvlJc w:val="left"/>
      <w:pPr>
        <w:ind w:left="4892" w:hanging="360"/>
      </w:pPr>
      <w:rPr>
        <w:rFonts w:hint="default"/>
      </w:rPr>
    </w:lvl>
    <w:lvl w:ilvl="7" w:tplc="09902AB4">
      <w:start w:val="1"/>
      <w:numFmt w:val="bullet"/>
      <w:lvlText w:val="•"/>
      <w:lvlJc w:val="left"/>
      <w:pPr>
        <w:ind w:left="5630" w:hanging="360"/>
      </w:pPr>
      <w:rPr>
        <w:rFonts w:hint="default"/>
      </w:rPr>
    </w:lvl>
    <w:lvl w:ilvl="8" w:tplc="8C7285DC">
      <w:start w:val="1"/>
      <w:numFmt w:val="bullet"/>
      <w:lvlText w:val="•"/>
      <w:lvlJc w:val="left"/>
      <w:pPr>
        <w:ind w:left="6369" w:hanging="360"/>
      </w:pPr>
      <w:rPr>
        <w:rFonts w:hint="default"/>
      </w:rPr>
    </w:lvl>
  </w:abstractNum>
  <w:abstractNum w:abstractNumId="12" w15:restartNumberingAfterBreak="0">
    <w:nsid w:val="3E324825"/>
    <w:multiLevelType w:val="hybridMultilevel"/>
    <w:tmpl w:val="0826165E"/>
    <w:lvl w:ilvl="0" w:tplc="04150001">
      <w:start w:val="1"/>
      <w:numFmt w:val="bullet"/>
      <w:lvlText w:val=""/>
      <w:lvlJc w:val="left"/>
      <w:pPr>
        <w:ind w:left="103" w:hanging="351"/>
      </w:pPr>
      <w:rPr>
        <w:rFonts w:ascii="Symbol" w:hAnsi="Symbol" w:hint="default"/>
        <w:spacing w:val="-1"/>
        <w:w w:val="99"/>
        <w:sz w:val="22"/>
        <w:szCs w:val="22"/>
      </w:rPr>
    </w:lvl>
    <w:lvl w:ilvl="1" w:tplc="61F68D12">
      <w:start w:val="1"/>
      <w:numFmt w:val="bullet"/>
      <w:lvlText w:val="•"/>
      <w:lvlJc w:val="left"/>
      <w:pPr>
        <w:ind w:left="912" w:hanging="351"/>
      </w:pPr>
      <w:rPr>
        <w:rFonts w:hint="default"/>
      </w:rPr>
    </w:lvl>
    <w:lvl w:ilvl="2" w:tplc="7FFEB1D8">
      <w:start w:val="1"/>
      <w:numFmt w:val="bullet"/>
      <w:lvlText w:val="•"/>
      <w:lvlJc w:val="left"/>
      <w:pPr>
        <w:ind w:left="1724" w:hanging="351"/>
      </w:pPr>
      <w:rPr>
        <w:rFonts w:hint="default"/>
      </w:rPr>
    </w:lvl>
    <w:lvl w:ilvl="3" w:tplc="1C0A1896">
      <w:start w:val="1"/>
      <w:numFmt w:val="bullet"/>
      <w:lvlText w:val="•"/>
      <w:lvlJc w:val="left"/>
      <w:pPr>
        <w:ind w:left="2537" w:hanging="351"/>
      </w:pPr>
      <w:rPr>
        <w:rFonts w:hint="default"/>
      </w:rPr>
    </w:lvl>
    <w:lvl w:ilvl="4" w:tplc="87A8CA42">
      <w:start w:val="1"/>
      <w:numFmt w:val="bullet"/>
      <w:lvlText w:val="•"/>
      <w:lvlJc w:val="left"/>
      <w:pPr>
        <w:ind w:left="3349" w:hanging="351"/>
      </w:pPr>
      <w:rPr>
        <w:rFonts w:hint="default"/>
      </w:rPr>
    </w:lvl>
    <w:lvl w:ilvl="5" w:tplc="D1147026">
      <w:start w:val="1"/>
      <w:numFmt w:val="bullet"/>
      <w:lvlText w:val="•"/>
      <w:lvlJc w:val="left"/>
      <w:pPr>
        <w:ind w:left="4161" w:hanging="351"/>
      </w:pPr>
      <w:rPr>
        <w:rFonts w:hint="default"/>
      </w:rPr>
    </w:lvl>
    <w:lvl w:ilvl="6" w:tplc="DDA4620E">
      <w:start w:val="1"/>
      <w:numFmt w:val="bullet"/>
      <w:lvlText w:val="•"/>
      <w:lvlJc w:val="left"/>
      <w:pPr>
        <w:ind w:left="4974" w:hanging="351"/>
      </w:pPr>
      <w:rPr>
        <w:rFonts w:hint="default"/>
      </w:rPr>
    </w:lvl>
    <w:lvl w:ilvl="7" w:tplc="46A0F65A">
      <w:start w:val="1"/>
      <w:numFmt w:val="bullet"/>
      <w:lvlText w:val="•"/>
      <w:lvlJc w:val="left"/>
      <w:pPr>
        <w:ind w:left="5786" w:hanging="351"/>
      </w:pPr>
      <w:rPr>
        <w:rFonts w:hint="default"/>
      </w:rPr>
    </w:lvl>
    <w:lvl w:ilvl="8" w:tplc="5BB46AA6">
      <w:start w:val="1"/>
      <w:numFmt w:val="bullet"/>
      <w:lvlText w:val="•"/>
      <w:lvlJc w:val="left"/>
      <w:pPr>
        <w:ind w:left="6598" w:hanging="351"/>
      </w:pPr>
      <w:rPr>
        <w:rFonts w:hint="default"/>
      </w:rPr>
    </w:lvl>
  </w:abstractNum>
  <w:abstractNum w:abstractNumId="13" w15:restartNumberingAfterBreak="0">
    <w:nsid w:val="3E3709E2"/>
    <w:multiLevelType w:val="hybridMultilevel"/>
    <w:tmpl w:val="8A3ED300"/>
    <w:lvl w:ilvl="0" w:tplc="4E2C6D72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0B702EFC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C0B6A694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003A1906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750CBDF0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1ECCD83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6C00B976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7700D334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EB665304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4" w15:restartNumberingAfterBreak="0">
    <w:nsid w:val="3FD75968"/>
    <w:multiLevelType w:val="hybridMultilevel"/>
    <w:tmpl w:val="46465DF4"/>
    <w:lvl w:ilvl="0" w:tplc="CFEE5C24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50426B16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960AA9DA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9D66E49C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D708ED66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280253BA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87320628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927C16BA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638EA6A0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5" w15:restartNumberingAfterBreak="0">
    <w:nsid w:val="3FE91AC7"/>
    <w:multiLevelType w:val="hybridMultilevel"/>
    <w:tmpl w:val="F57C40B0"/>
    <w:lvl w:ilvl="0" w:tplc="2B329850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A1AEF950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05C6DFE0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28B86666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E670EE4E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D8B0567E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B60C98D4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9EBAC144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F2184604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16" w15:restartNumberingAfterBreak="0">
    <w:nsid w:val="4DF50558"/>
    <w:multiLevelType w:val="hybridMultilevel"/>
    <w:tmpl w:val="59C44E30"/>
    <w:lvl w:ilvl="0" w:tplc="ED08DDA0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E0E2FD12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5A10A0F0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A6AECCFC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8446D0AE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36CA3B72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EF702016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754439AA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90FC979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7" w15:restartNumberingAfterBreak="0">
    <w:nsid w:val="5296190C"/>
    <w:multiLevelType w:val="hybridMultilevel"/>
    <w:tmpl w:val="2922837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8" w15:restartNumberingAfterBreak="0">
    <w:nsid w:val="576C0E62"/>
    <w:multiLevelType w:val="hybridMultilevel"/>
    <w:tmpl w:val="FA24E136"/>
    <w:lvl w:ilvl="0" w:tplc="4EBE3CCC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EA160974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0B12EEB4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9BE1670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1F66FB80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1CD0B1C2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0A327444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E18E8E40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BC081E48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19" w15:restartNumberingAfterBreak="0">
    <w:nsid w:val="5CD81BB6"/>
    <w:multiLevelType w:val="hybridMultilevel"/>
    <w:tmpl w:val="914445FC"/>
    <w:lvl w:ilvl="0" w:tplc="36C82710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D50474E2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90BE5A7E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E74D052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676E66D8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E9920FD4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8BA258F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DB60A1B0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81506E3A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20" w15:restartNumberingAfterBreak="0">
    <w:nsid w:val="5FE63C77"/>
    <w:multiLevelType w:val="hybridMultilevel"/>
    <w:tmpl w:val="B54A4B00"/>
    <w:lvl w:ilvl="0" w:tplc="97E6ECE2">
      <w:start w:val="1"/>
      <w:numFmt w:val="lowerLetter"/>
      <w:lvlText w:val="%1)"/>
      <w:lvlJc w:val="left"/>
      <w:pPr>
        <w:ind w:left="103" w:hanging="351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61F68D12">
      <w:start w:val="1"/>
      <w:numFmt w:val="bullet"/>
      <w:lvlText w:val="•"/>
      <w:lvlJc w:val="left"/>
      <w:pPr>
        <w:ind w:left="912" w:hanging="351"/>
      </w:pPr>
      <w:rPr>
        <w:rFonts w:hint="default"/>
      </w:rPr>
    </w:lvl>
    <w:lvl w:ilvl="2" w:tplc="7FFEB1D8">
      <w:start w:val="1"/>
      <w:numFmt w:val="bullet"/>
      <w:lvlText w:val="•"/>
      <w:lvlJc w:val="left"/>
      <w:pPr>
        <w:ind w:left="1724" w:hanging="351"/>
      </w:pPr>
      <w:rPr>
        <w:rFonts w:hint="default"/>
      </w:rPr>
    </w:lvl>
    <w:lvl w:ilvl="3" w:tplc="1C0A1896">
      <w:start w:val="1"/>
      <w:numFmt w:val="bullet"/>
      <w:lvlText w:val="•"/>
      <w:lvlJc w:val="left"/>
      <w:pPr>
        <w:ind w:left="2537" w:hanging="351"/>
      </w:pPr>
      <w:rPr>
        <w:rFonts w:hint="default"/>
      </w:rPr>
    </w:lvl>
    <w:lvl w:ilvl="4" w:tplc="87A8CA42">
      <w:start w:val="1"/>
      <w:numFmt w:val="bullet"/>
      <w:lvlText w:val="•"/>
      <w:lvlJc w:val="left"/>
      <w:pPr>
        <w:ind w:left="3349" w:hanging="351"/>
      </w:pPr>
      <w:rPr>
        <w:rFonts w:hint="default"/>
      </w:rPr>
    </w:lvl>
    <w:lvl w:ilvl="5" w:tplc="D1147026">
      <w:start w:val="1"/>
      <w:numFmt w:val="bullet"/>
      <w:lvlText w:val="•"/>
      <w:lvlJc w:val="left"/>
      <w:pPr>
        <w:ind w:left="4161" w:hanging="351"/>
      </w:pPr>
      <w:rPr>
        <w:rFonts w:hint="default"/>
      </w:rPr>
    </w:lvl>
    <w:lvl w:ilvl="6" w:tplc="DDA4620E">
      <w:start w:val="1"/>
      <w:numFmt w:val="bullet"/>
      <w:lvlText w:val="•"/>
      <w:lvlJc w:val="left"/>
      <w:pPr>
        <w:ind w:left="4974" w:hanging="351"/>
      </w:pPr>
      <w:rPr>
        <w:rFonts w:hint="default"/>
      </w:rPr>
    </w:lvl>
    <w:lvl w:ilvl="7" w:tplc="46A0F65A">
      <w:start w:val="1"/>
      <w:numFmt w:val="bullet"/>
      <w:lvlText w:val="•"/>
      <w:lvlJc w:val="left"/>
      <w:pPr>
        <w:ind w:left="5786" w:hanging="351"/>
      </w:pPr>
      <w:rPr>
        <w:rFonts w:hint="default"/>
      </w:rPr>
    </w:lvl>
    <w:lvl w:ilvl="8" w:tplc="5BB46AA6">
      <w:start w:val="1"/>
      <w:numFmt w:val="bullet"/>
      <w:lvlText w:val="•"/>
      <w:lvlJc w:val="left"/>
      <w:pPr>
        <w:ind w:left="6598" w:hanging="351"/>
      </w:pPr>
      <w:rPr>
        <w:rFonts w:hint="default"/>
      </w:rPr>
    </w:lvl>
  </w:abstractNum>
  <w:abstractNum w:abstractNumId="21" w15:restartNumberingAfterBreak="0">
    <w:nsid w:val="62B470F5"/>
    <w:multiLevelType w:val="hybridMultilevel"/>
    <w:tmpl w:val="5F8038D2"/>
    <w:lvl w:ilvl="0" w:tplc="2A429DF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FF65BEE">
      <w:start w:val="1"/>
      <w:numFmt w:val="lowerLetter"/>
      <w:lvlText w:val="%2)"/>
      <w:lvlJc w:val="left"/>
      <w:pPr>
        <w:ind w:left="823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2" w:tplc="29CA8538">
      <w:start w:val="1"/>
      <w:numFmt w:val="bullet"/>
      <w:lvlText w:val="•"/>
      <w:lvlJc w:val="left"/>
      <w:pPr>
        <w:ind w:left="1642" w:hanging="360"/>
      </w:pPr>
      <w:rPr>
        <w:rFonts w:hint="default"/>
      </w:rPr>
    </w:lvl>
    <w:lvl w:ilvl="3" w:tplc="5A2CAF6A">
      <w:start w:val="1"/>
      <w:numFmt w:val="bullet"/>
      <w:lvlText w:val="•"/>
      <w:lvlJc w:val="left"/>
      <w:pPr>
        <w:ind w:left="2465" w:hanging="360"/>
      </w:pPr>
      <w:rPr>
        <w:rFonts w:hint="default"/>
      </w:rPr>
    </w:lvl>
    <w:lvl w:ilvl="4" w:tplc="0CC64F18">
      <w:start w:val="1"/>
      <w:numFmt w:val="bullet"/>
      <w:lvlText w:val="•"/>
      <w:lvlJc w:val="left"/>
      <w:pPr>
        <w:ind w:left="3287" w:hanging="360"/>
      </w:pPr>
      <w:rPr>
        <w:rFonts w:hint="default"/>
      </w:rPr>
    </w:lvl>
    <w:lvl w:ilvl="5" w:tplc="D0780658">
      <w:start w:val="1"/>
      <w:numFmt w:val="bullet"/>
      <w:lvlText w:val="•"/>
      <w:lvlJc w:val="left"/>
      <w:pPr>
        <w:ind w:left="4110" w:hanging="360"/>
      </w:pPr>
      <w:rPr>
        <w:rFonts w:hint="default"/>
      </w:rPr>
    </w:lvl>
    <w:lvl w:ilvl="6" w:tplc="A53A3A72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7" w:tplc="8CCC14E8">
      <w:start w:val="1"/>
      <w:numFmt w:val="bullet"/>
      <w:lvlText w:val="•"/>
      <w:lvlJc w:val="left"/>
      <w:pPr>
        <w:ind w:left="5755" w:hanging="360"/>
      </w:pPr>
      <w:rPr>
        <w:rFonts w:hint="default"/>
      </w:rPr>
    </w:lvl>
    <w:lvl w:ilvl="8" w:tplc="4FF4B222">
      <w:start w:val="1"/>
      <w:numFmt w:val="bullet"/>
      <w:lvlText w:val="•"/>
      <w:lvlJc w:val="left"/>
      <w:pPr>
        <w:ind w:left="6578" w:hanging="360"/>
      </w:pPr>
      <w:rPr>
        <w:rFonts w:hint="default"/>
      </w:rPr>
    </w:lvl>
  </w:abstractNum>
  <w:abstractNum w:abstractNumId="22" w15:restartNumberingAfterBreak="0">
    <w:nsid w:val="67981116"/>
    <w:multiLevelType w:val="hybridMultilevel"/>
    <w:tmpl w:val="641033BA"/>
    <w:lvl w:ilvl="0" w:tplc="B9269FEC">
      <w:start w:val="1"/>
      <w:numFmt w:val="bullet"/>
      <w:lvlText w:val=""/>
      <w:lvlJc w:val="left"/>
      <w:pPr>
        <w:ind w:left="430" w:hanging="282"/>
      </w:pPr>
      <w:rPr>
        <w:rFonts w:ascii="Symbol" w:eastAsia="Symbol" w:hAnsi="Symbol" w:cs="Symbol" w:hint="default"/>
        <w:w w:val="99"/>
        <w:sz w:val="22"/>
        <w:szCs w:val="22"/>
      </w:rPr>
    </w:lvl>
    <w:lvl w:ilvl="1" w:tplc="9CD89E46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6EC03D42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7D5A4B5E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DF24126A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DCF06B38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9EF0D6F4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FAD09282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F5CE8648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23" w15:restartNumberingAfterBreak="0">
    <w:nsid w:val="680A1DF2"/>
    <w:multiLevelType w:val="hybridMultilevel"/>
    <w:tmpl w:val="09185718"/>
    <w:lvl w:ilvl="0" w:tplc="A2B8FC18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BF6158E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4A8AFEF8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1F02F33E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51B4D98C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5C2A3BA0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E01412A2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2828E38C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F53C86BC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24" w15:restartNumberingAfterBreak="0">
    <w:nsid w:val="69FE07D4"/>
    <w:multiLevelType w:val="hybridMultilevel"/>
    <w:tmpl w:val="1388BCF6"/>
    <w:lvl w:ilvl="0" w:tplc="D1705A72">
      <w:start w:val="1"/>
      <w:numFmt w:val="bullet"/>
      <w:lvlText w:val=""/>
      <w:lvlJc w:val="left"/>
      <w:pPr>
        <w:ind w:left="430" w:hanging="282"/>
      </w:pPr>
      <w:rPr>
        <w:rFonts w:hint="default"/>
        <w:w w:val="99"/>
      </w:rPr>
    </w:lvl>
    <w:lvl w:ilvl="1" w:tplc="44C6D080">
      <w:start w:val="1"/>
      <w:numFmt w:val="bullet"/>
      <w:lvlText w:val="•"/>
      <w:lvlJc w:val="left"/>
      <w:pPr>
        <w:ind w:left="1218" w:hanging="282"/>
      </w:pPr>
      <w:rPr>
        <w:rFonts w:hint="default"/>
      </w:rPr>
    </w:lvl>
    <w:lvl w:ilvl="2" w:tplc="374A5C36">
      <w:start w:val="1"/>
      <w:numFmt w:val="bullet"/>
      <w:lvlText w:val="•"/>
      <w:lvlJc w:val="left"/>
      <w:pPr>
        <w:ind w:left="1996" w:hanging="282"/>
      </w:pPr>
      <w:rPr>
        <w:rFonts w:hint="default"/>
      </w:rPr>
    </w:lvl>
    <w:lvl w:ilvl="3" w:tplc="14C4E9A0">
      <w:start w:val="1"/>
      <w:numFmt w:val="bullet"/>
      <w:lvlText w:val="•"/>
      <w:lvlJc w:val="left"/>
      <w:pPr>
        <w:ind w:left="2775" w:hanging="282"/>
      </w:pPr>
      <w:rPr>
        <w:rFonts w:hint="default"/>
      </w:rPr>
    </w:lvl>
    <w:lvl w:ilvl="4" w:tplc="3E6C1C9A">
      <w:start w:val="1"/>
      <w:numFmt w:val="bullet"/>
      <w:lvlText w:val="•"/>
      <w:lvlJc w:val="left"/>
      <w:pPr>
        <w:ind w:left="3553" w:hanging="282"/>
      </w:pPr>
      <w:rPr>
        <w:rFonts w:hint="default"/>
      </w:rPr>
    </w:lvl>
    <w:lvl w:ilvl="5" w:tplc="A4525C6A">
      <w:start w:val="1"/>
      <w:numFmt w:val="bullet"/>
      <w:lvlText w:val="•"/>
      <w:lvlJc w:val="left"/>
      <w:pPr>
        <w:ind w:left="4331" w:hanging="282"/>
      </w:pPr>
      <w:rPr>
        <w:rFonts w:hint="default"/>
      </w:rPr>
    </w:lvl>
    <w:lvl w:ilvl="6" w:tplc="D416057A">
      <w:start w:val="1"/>
      <w:numFmt w:val="bullet"/>
      <w:lvlText w:val="•"/>
      <w:lvlJc w:val="left"/>
      <w:pPr>
        <w:ind w:left="5110" w:hanging="282"/>
      </w:pPr>
      <w:rPr>
        <w:rFonts w:hint="default"/>
      </w:rPr>
    </w:lvl>
    <w:lvl w:ilvl="7" w:tplc="54F0085E">
      <w:start w:val="1"/>
      <w:numFmt w:val="bullet"/>
      <w:lvlText w:val="•"/>
      <w:lvlJc w:val="left"/>
      <w:pPr>
        <w:ind w:left="5888" w:hanging="282"/>
      </w:pPr>
      <w:rPr>
        <w:rFonts w:hint="default"/>
      </w:rPr>
    </w:lvl>
    <w:lvl w:ilvl="8" w:tplc="6BF652CC">
      <w:start w:val="1"/>
      <w:numFmt w:val="bullet"/>
      <w:lvlText w:val="•"/>
      <w:lvlJc w:val="left"/>
      <w:pPr>
        <w:ind w:left="6666" w:hanging="282"/>
      </w:pPr>
      <w:rPr>
        <w:rFonts w:hint="default"/>
      </w:rPr>
    </w:lvl>
  </w:abstractNum>
  <w:abstractNum w:abstractNumId="25" w15:restartNumberingAfterBreak="0">
    <w:nsid w:val="6CA71C1F"/>
    <w:multiLevelType w:val="hybridMultilevel"/>
    <w:tmpl w:val="1DD01D02"/>
    <w:lvl w:ilvl="0" w:tplc="373C513C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C43816DA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198A1828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092EA17E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D5F4B438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5792CDD8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4DA295F6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A6186BC2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4AF61AB0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26" w15:restartNumberingAfterBreak="0">
    <w:nsid w:val="7697466A"/>
    <w:multiLevelType w:val="hybridMultilevel"/>
    <w:tmpl w:val="2E9C9224"/>
    <w:lvl w:ilvl="0" w:tplc="0F1C010E">
      <w:start w:val="1"/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1F64B3E">
      <w:start w:val="1"/>
      <w:numFmt w:val="bullet"/>
      <w:lvlText w:val="•"/>
      <w:lvlJc w:val="left"/>
      <w:pPr>
        <w:ind w:left="1197" w:hanging="360"/>
      </w:pPr>
      <w:rPr>
        <w:rFonts w:hint="default"/>
      </w:rPr>
    </w:lvl>
    <w:lvl w:ilvl="2" w:tplc="0BD65F2A">
      <w:start w:val="1"/>
      <w:numFmt w:val="bullet"/>
      <w:lvlText w:val="•"/>
      <w:lvlJc w:val="left"/>
      <w:pPr>
        <w:ind w:left="1935" w:hanging="360"/>
      </w:pPr>
      <w:rPr>
        <w:rFonts w:hint="default"/>
      </w:rPr>
    </w:lvl>
    <w:lvl w:ilvl="3" w:tplc="460E1276">
      <w:start w:val="1"/>
      <w:numFmt w:val="bullet"/>
      <w:lvlText w:val="•"/>
      <w:lvlJc w:val="left"/>
      <w:pPr>
        <w:ind w:left="2673" w:hanging="360"/>
      </w:pPr>
      <w:rPr>
        <w:rFonts w:hint="default"/>
      </w:rPr>
    </w:lvl>
    <w:lvl w:ilvl="4" w:tplc="8F90281A">
      <w:start w:val="1"/>
      <w:numFmt w:val="bullet"/>
      <w:lvlText w:val="•"/>
      <w:lvlJc w:val="left"/>
      <w:pPr>
        <w:ind w:left="3410" w:hanging="360"/>
      </w:pPr>
      <w:rPr>
        <w:rFonts w:hint="default"/>
      </w:rPr>
    </w:lvl>
    <w:lvl w:ilvl="5" w:tplc="DBF4D476">
      <w:start w:val="1"/>
      <w:numFmt w:val="bullet"/>
      <w:lvlText w:val="•"/>
      <w:lvlJc w:val="left"/>
      <w:pPr>
        <w:ind w:left="4148" w:hanging="360"/>
      </w:pPr>
      <w:rPr>
        <w:rFonts w:hint="default"/>
      </w:rPr>
    </w:lvl>
    <w:lvl w:ilvl="6" w:tplc="451A8480">
      <w:start w:val="1"/>
      <w:numFmt w:val="bullet"/>
      <w:lvlText w:val="•"/>
      <w:lvlJc w:val="left"/>
      <w:pPr>
        <w:ind w:left="4886" w:hanging="360"/>
      </w:pPr>
      <w:rPr>
        <w:rFonts w:hint="default"/>
      </w:rPr>
    </w:lvl>
    <w:lvl w:ilvl="7" w:tplc="8FF2DF20">
      <w:start w:val="1"/>
      <w:numFmt w:val="bullet"/>
      <w:lvlText w:val="•"/>
      <w:lvlJc w:val="left"/>
      <w:pPr>
        <w:ind w:left="5624" w:hanging="360"/>
      </w:pPr>
      <w:rPr>
        <w:rFonts w:hint="default"/>
      </w:rPr>
    </w:lvl>
    <w:lvl w:ilvl="8" w:tplc="7F16F94C">
      <w:start w:val="1"/>
      <w:numFmt w:val="bullet"/>
      <w:lvlText w:val="•"/>
      <w:lvlJc w:val="left"/>
      <w:pPr>
        <w:ind w:left="6361" w:hanging="360"/>
      </w:pPr>
      <w:rPr>
        <w:rFonts w:hint="default"/>
      </w:rPr>
    </w:lvl>
  </w:abstractNum>
  <w:abstractNum w:abstractNumId="27" w15:restartNumberingAfterBreak="0">
    <w:nsid w:val="7835697D"/>
    <w:multiLevelType w:val="hybridMultilevel"/>
    <w:tmpl w:val="3CCCEF5C"/>
    <w:lvl w:ilvl="0" w:tplc="BF0E1EA6">
      <w:start w:val="1"/>
      <w:numFmt w:val="lowerLetter"/>
      <w:lvlText w:val="%1)"/>
      <w:lvlJc w:val="left"/>
      <w:pPr>
        <w:ind w:left="857" w:hanging="360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8" w15:restartNumberingAfterBreak="0">
    <w:nsid w:val="78C86802"/>
    <w:multiLevelType w:val="hybridMultilevel"/>
    <w:tmpl w:val="DEF28456"/>
    <w:lvl w:ilvl="0" w:tplc="35BAA906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4EE6254">
      <w:start w:val="1"/>
      <w:numFmt w:val="bullet"/>
      <w:lvlText w:val="•"/>
      <w:lvlJc w:val="left"/>
      <w:pPr>
        <w:ind w:left="1236" w:hanging="360"/>
      </w:pPr>
      <w:rPr>
        <w:rFonts w:hint="default"/>
      </w:rPr>
    </w:lvl>
    <w:lvl w:ilvl="2" w:tplc="CA7A6072">
      <w:start w:val="1"/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56881964">
      <w:start w:val="1"/>
      <w:numFmt w:val="bullet"/>
      <w:lvlText w:val="•"/>
      <w:lvlJc w:val="left"/>
      <w:pPr>
        <w:ind w:left="2789" w:hanging="360"/>
      </w:pPr>
      <w:rPr>
        <w:rFonts w:hint="default"/>
      </w:rPr>
    </w:lvl>
    <w:lvl w:ilvl="4" w:tplc="94900794">
      <w:start w:val="1"/>
      <w:numFmt w:val="bullet"/>
      <w:lvlText w:val="•"/>
      <w:lvlJc w:val="left"/>
      <w:pPr>
        <w:ind w:left="3565" w:hanging="360"/>
      </w:pPr>
      <w:rPr>
        <w:rFonts w:hint="default"/>
      </w:rPr>
    </w:lvl>
    <w:lvl w:ilvl="5" w:tplc="F940B8B6">
      <w:start w:val="1"/>
      <w:numFmt w:val="bullet"/>
      <w:lvlText w:val="•"/>
      <w:lvlJc w:val="left"/>
      <w:pPr>
        <w:ind w:left="4341" w:hanging="360"/>
      </w:pPr>
      <w:rPr>
        <w:rFonts w:hint="default"/>
      </w:rPr>
    </w:lvl>
    <w:lvl w:ilvl="6" w:tplc="959E3940">
      <w:start w:val="1"/>
      <w:numFmt w:val="bullet"/>
      <w:lvlText w:val="•"/>
      <w:lvlJc w:val="left"/>
      <w:pPr>
        <w:ind w:left="5118" w:hanging="360"/>
      </w:pPr>
      <w:rPr>
        <w:rFonts w:hint="default"/>
      </w:rPr>
    </w:lvl>
    <w:lvl w:ilvl="7" w:tplc="B1DE012E">
      <w:start w:val="1"/>
      <w:numFmt w:val="bullet"/>
      <w:lvlText w:val="•"/>
      <w:lvlJc w:val="left"/>
      <w:pPr>
        <w:ind w:left="5894" w:hanging="360"/>
      </w:pPr>
      <w:rPr>
        <w:rFonts w:hint="default"/>
      </w:rPr>
    </w:lvl>
    <w:lvl w:ilvl="8" w:tplc="7CFC3222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</w:abstractNum>
  <w:num w:numId="1">
    <w:abstractNumId w:val="11"/>
  </w:num>
  <w:num w:numId="2">
    <w:abstractNumId w:val="23"/>
  </w:num>
  <w:num w:numId="3">
    <w:abstractNumId w:val="15"/>
  </w:num>
  <w:num w:numId="4">
    <w:abstractNumId w:val="10"/>
  </w:num>
  <w:num w:numId="5">
    <w:abstractNumId w:val="26"/>
  </w:num>
  <w:num w:numId="6">
    <w:abstractNumId w:val="13"/>
  </w:num>
  <w:num w:numId="7">
    <w:abstractNumId w:val="3"/>
  </w:num>
  <w:num w:numId="8">
    <w:abstractNumId w:val="14"/>
  </w:num>
  <w:num w:numId="9">
    <w:abstractNumId w:val="25"/>
  </w:num>
  <w:num w:numId="10">
    <w:abstractNumId w:val="8"/>
  </w:num>
  <w:num w:numId="11">
    <w:abstractNumId w:val="16"/>
  </w:num>
  <w:num w:numId="12">
    <w:abstractNumId w:val="19"/>
  </w:num>
  <w:num w:numId="13">
    <w:abstractNumId w:val="0"/>
  </w:num>
  <w:num w:numId="14">
    <w:abstractNumId w:val="1"/>
  </w:num>
  <w:num w:numId="15">
    <w:abstractNumId w:val="4"/>
  </w:num>
  <w:num w:numId="16">
    <w:abstractNumId w:val="28"/>
  </w:num>
  <w:num w:numId="17">
    <w:abstractNumId w:val="21"/>
  </w:num>
  <w:num w:numId="18">
    <w:abstractNumId w:val="9"/>
  </w:num>
  <w:num w:numId="19">
    <w:abstractNumId w:val="7"/>
  </w:num>
  <w:num w:numId="20">
    <w:abstractNumId w:val="22"/>
  </w:num>
  <w:num w:numId="21">
    <w:abstractNumId w:val="2"/>
  </w:num>
  <w:num w:numId="22">
    <w:abstractNumId w:val="6"/>
  </w:num>
  <w:num w:numId="23">
    <w:abstractNumId w:val="20"/>
  </w:num>
  <w:num w:numId="24">
    <w:abstractNumId w:val="24"/>
  </w:num>
  <w:num w:numId="25">
    <w:abstractNumId w:val="18"/>
  </w:num>
  <w:num w:numId="26">
    <w:abstractNumId w:val="5"/>
  </w:num>
  <w:num w:numId="27">
    <w:abstractNumId w:val="17"/>
  </w:num>
  <w:num w:numId="28">
    <w:abstractNumId w:val="12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8"/>
    <w:rsid w:val="000A13DF"/>
    <w:rsid w:val="00117465"/>
    <w:rsid w:val="003A167E"/>
    <w:rsid w:val="00427789"/>
    <w:rsid w:val="00675FB2"/>
    <w:rsid w:val="00A140E8"/>
    <w:rsid w:val="00B1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297A3E-250B-4407-AE98-B95F21057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140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140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140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140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A140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140E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A140E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Normalny"/>
    <w:uiPriority w:val="99"/>
    <w:rsid w:val="00A140E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33">
    <w:name w:val="Font Style33"/>
    <w:basedOn w:val="Domylnaczcionkaakapitu"/>
    <w:uiPriority w:val="99"/>
    <w:rsid w:val="00A140E8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kapitzlist">
    <w:name w:val="List Paragraph"/>
    <w:basedOn w:val="Normalny"/>
    <w:uiPriority w:val="34"/>
    <w:qFormat/>
    <w:rsid w:val="00A140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C2EAA-76C8-4EF0-94D2-EC884971F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2333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Krupińska</dc:creator>
  <cp:keywords/>
  <dc:description/>
  <cp:lastModifiedBy>Kacper Krzysztofik</cp:lastModifiedBy>
  <cp:revision>2</cp:revision>
  <dcterms:created xsi:type="dcterms:W3CDTF">2016-11-30T14:10:00Z</dcterms:created>
  <dcterms:modified xsi:type="dcterms:W3CDTF">2016-11-30T14:10:00Z</dcterms:modified>
</cp:coreProperties>
</file>