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2B" w:rsidRPr="00E43AD0" w:rsidRDefault="00A92B2B" w:rsidP="00A40F29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r w:rsidRPr="00E43AD0">
        <w:rPr>
          <w:rStyle w:val="FontStyle33"/>
          <w:rFonts w:ascii="Arial Narrow" w:hAnsi="Arial Narrow"/>
          <w:i w:val="0"/>
          <w:sz w:val="28"/>
          <w:szCs w:val="28"/>
        </w:rPr>
        <w:t>Lista kontrolna dla projektów z pomocą publiczną opartych o rozporządzenie Komisji nr 651/2014 z dnia 17 czerwca 2014 r.</w:t>
      </w:r>
      <w:r w:rsidR="00681862">
        <w:rPr>
          <w:rStyle w:val="FontStyle33"/>
          <w:rFonts w:ascii="Arial Narrow" w:hAnsi="Arial Narrow"/>
          <w:i w:val="0"/>
          <w:sz w:val="28"/>
          <w:szCs w:val="28"/>
        </w:rPr>
        <w:t xml:space="preserve"> dotycząca pomocy na kulturę i zachowanie dziedzictwa kulturowego</w:t>
      </w:r>
    </w:p>
    <w:p w:rsidR="00C203BF" w:rsidRPr="00FE6953" w:rsidRDefault="00C203BF" w:rsidP="00C203BF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 xml:space="preserve">Niniejsza lista kontrolna nie jest oficjalnym dokumentem Komisji Europejskiej. Może być ona pomocnym, dodatkowym narzędziem w kontekście stosowania rozporządzenia Komisji nr 651/2014 z dnia 17 czerwca 2014 r. (ogólnego rozporządzenia w sprawie </w:t>
      </w:r>
      <w:proofErr w:type="spellStart"/>
      <w:r w:rsidRPr="00FE6953">
        <w:rPr>
          <w:rStyle w:val="FontStyle33"/>
          <w:rFonts w:ascii="Arial Narrow" w:hAnsi="Arial Narrow"/>
        </w:rPr>
        <w:t>wyłączeń</w:t>
      </w:r>
      <w:proofErr w:type="spellEnd"/>
      <w:r w:rsidRPr="00FE6953">
        <w:rPr>
          <w:rStyle w:val="FontStyle33"/>
          <w:rFonts w:ascii="Arial Narrow" w:hAnsi="Arial Narrow"/>
        </w:rPr>
        <w:t xml:space="preserve"> blokowych), jednak nie zastępuje ona tego rozporządzenia. Aby skorzystać z wyłączenia z wymogu zgłoszenia określonego w rozporządzeniu, konieczne jest zachowanie pełnej zgodności z jego przepisami.</w:t>
      </w:r>
    </w:p>
    <w:p w:rsidR="007C3FC4" w:rsidRPr="00074BAB" w:rsidRDefault="00074BAB" w:rsidP="00074BAB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C203BF" w:rsidRPr="00C203BF" w:rsidRDefault="00C203BF" w:rsidP="00C203BF">
      <w:pPr>
        <w:pStyle w:val="Nagwek1"/>
        <w:spacing w:before="71"/>
        <w:ind w:left="708" w:right="792" w:firstLine="708"/>
        <w:jc w:val="center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 xml:space="preserve">Ogólne rozporządzenie w sprawie </w:t>
      </w:r>
      <w:proofErr w:type="spellStart"/>
      <w:r w:rsidRPr="00C203BF">
        <w:rPr>
          <w:rFonts w:ascii="Arial Narrow" w:hAnsi="Arial Narrow"/>
          <w:sz w:val="22"/>
          <w:szCs w:val="22"/>
          <w:u w:val="thick"/>
        </w:rPr>
        <w:t>wyłączeń</w:t>
      </w:r>
      <w:proofErr w:type="spellEnd"/>
      <w:r w:rsidRPr="00C203BF">
        <w:rPr>
          <w:rFonts w:ascii="Arial Narrow" w:hAnsi="Arial Narrow"/>
          <w:sz w:val="22"/>
          <w:szCs w:val="22"/>
          <w:u w:val="thick"/>
        </w:rPr>
        <w:t xml:space="preserve"> blokowych (</w:t>
      </w:r>
      <w:proofErr w:type="spellStart"/>
      <w:r w:rsidRPr="00C203BF">
        <w:rPr>
          <w:rFonts w:ascii="Arial Narrow" w:hAnsi="Arial Narrow"/>
          <w:sz w:val="22"/>
          <w:szCs w:val="22"/>
          <w:u w:val="thick"/>
        </w:rPr>
        <w:t>rozp</w:t>
      </w:r>
      <w:proofErr w:type="spellEnd"/>
      <w:r w:rsidRPr="00C203BF">
        <w:rPr>
          <w:rFonts w:ascii="Arial Narrow" w:hAnsi="Arial Narrow"/>
          <w:sz w:val="22"/>
          <w:szCs w:val="22"/>
          <w:u w:val="thick"/>
        </w:rPr>
        <w:t>. 651/2014) - dokument roboczy Pomoc na kulturę i zachowanie dziedzictwa kulturowego</w:t>
      </w:r>
    </w:p>
    <w:p w:rsidR="00C203BF" w:rsidRPr="00C203BF" w:rsidRDefault="00C203BF" w:rsidP="00C203BF">
      <w:pPr>
        <w:pStyle w:val="Tekstpodstawowy"/>
        <w:ind w:left="837" w:right="629" w:hanging="1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</w:rPr>
        <w:t xml:space="preserve">Najpierw należy sprawdzić ogólne warunki stosowania ogólnego rozporządzenia w sprawie </w:t>
      </w:r>
      <w:proofErr w:type="spellStart"/>
      <w:r w:rsidRPr="00C203BF">
        <w:rPr>
          <w:rFonts w:ascii="Arial Narrow" w:hAnsi="Arial Narrow"/>
          <w:sz w:val="22"/>
          <w:szCs w:val="22"/>
        </w:rPr>
        <w:t>wyłączeń</w:t>
      </w:r>
      <w:proofErr w:type="spellEnd"/>
      <w:r w:rsidRPr="00C203BF">
        <w:rPr>
          <w:rFonts w:ascii="Arial Narrow" w:hAnsi="Arial Narrow"/>
          <w:sz w:val="22"/>
          <w:szCs w:val="22"/>
        </w:rPr>
        <w:t xml:space="preserve"> blokowych (12 warunków, art. 1-12), a następnie warunki dotyczące pomocy na kulturę i zachowanie dziedzictwa kulturowego.</w:t>
      </w:r>
    </w:p>
    <w:p w:rsidR="00C203BF" w:rsidRPr="00C203BF" w:rsidRDefault="00C203BF" w:rsidP="00C203BF">
      <w:pPr>
        <w:pStyle w:val="Nagwek1"/>
        <w:keepNext w:val="0"/>
        <w:keepLines w:val="0"/>
        <w:widowControl w:val="0"/>
        <w:numPr>
          <w:ilvl w:val="0"/>
          <w:numId w:val="18"/>
        </w:numPr>
        <w:tabs>
          <w:tab w:val="left" w:pos="6474"/>
        </w:tabs>
        <w:spacing w:before="0"/>
        <w:ind w:left="6333" w:hanging="266"/>
        <w:jc w:val="left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Ogólne warunki</w:t>
      </w:r>
      <w:r w:rsidRPr="00C203BF">
        <w:rPr>
          <w:rFonts w:ascii="Arial Narrow" w:hAnsi="Arial Narrow"/>
          <w:spacing w:val="-12"/>
          <w:sz w:val="22"/>
          <w:szCs w:val="22"/>
          <w:u w:val="thick"/>
        </w:rPr>
        <w:t xml:space="preserve"> </w:t>
      </w:r>
      <w:r w:rsidRPr="00C203BF">
        <w:rPr>
          <w:rFonts w:ascii="Arial Narrow" w:hAnsi="Arial Narrow"/>
          <w:sz w:val="22"/>
          <w:szCs w:val="22"/>
          <w:u w:val="thick"/>
        </w:rPr>
        <w:t>stosowania</w:t>
      </w:r>
    </w:p>
    <w:p w:rsidR="00C203BF" w:rsidRPr="00C203BF" w:rsidRDefault="00C203BF" w:rsidP="00C203BF">
      <w:pPr>
        <w:pStyle w:val="Tekstpodstawowy"/>
        <w:spacing w:before="1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678"/>
      </w:tblGrid>
      <w:tr w:rsidR="00C203BF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OGÓLNE WARUNKI ZGODNOŚCI</w:t>
            </w:r>
          </w:p>
        </w:tc>
        <w:tc>
          <w:tcPr>
            <w:tcW w:w="4678" w:type="dxa"/>
            <w:shd w:val="clear" w:color="auto" w:fill="333399"/>
          </w:tcPr>
          <w:p w:rsidR="00C203BF" w:rsidRPr="00C203BF" w:rsidRDefault="00C203BF" w:rsidP="00A92B2B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before="3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niektórych działań (ust. 2)</w:t>
            </w:r>
          </w:p>
        </w:tc>
        <w:tc>
          <w:tcPr>
            <w:tcW w:w="4678" w:type="dxa"/>
            <w:vMerge w:val="restart"/>
            <w:tcBorders>
              <w:left w:val="single" w:sz="41" w:space="0" w:color="DADADA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800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line="266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przyznawanej na działalność związaną z</w:t>
            </w:r>
            <w:r w:rsidRPr="00C203BF">
              <w:rPr>
                <w:rFonts w:ascii="Arial Narrow" w:hAnsi="Arial Narrow"/>
                <w:spacing w:val="-3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wywozem;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ind w:right="10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uwarunkowanej pierwszeństwem użycia towarów produkcji krajowej w stosunku do towarów sprowadzanych z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zagranicy.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niektórych sektorów (ust. 3)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958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68" w:lineRule="exact"/>
              <w:ind w:right="0"/>
              <w:rPr>
                <w:rFonts w:ascii="Arial Narrow" w:hAnsi="Arial Narrow"/>
                <w:color w:val="FF0000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sektora rybołówstwa i akwakultury* (podobnie jak w rozporządzeniu</w:t>
            </w:r>
            <w:r w:rsidRPr="00C203BF">
              <w:rPr>
                <w:rFonts w:ascii="Arial Narrow" w:hAnsi="Arial Narrow"/>
                <w:spacing w:val="-3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1379/2013);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sektora produkcji podstawowej produktów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rolnych*;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98"/>
              <w:jc w:val="both"/>
              <w:rPr>
                <w:rFonts w:ascii="Arial Narrow" w:hAnsi="Arial Narrow"/>
                <w:color w:val="FF0000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przetwórstwa i wprowadzania do obrotu produktów rolnych*, </w:t>
            </w:r>
            <w:r w:rsidRPr="00C203BF">
              <w:rPr>
                <w:rFonts w:ascii="Arial Narrow" w:hAnsi="Arial Narrow"/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</w:t>
            </w:r>
            <w:r w:rsidRPr="00C203BF">
              <w:rPr>
                <w:rFonts w:ascii="Arial Narrow" w:hAnsi="Arial Narrow"/>
                <w:color w:val="FF0000"/>
                <w:spacing w:val="-1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color w:val="FF0000"/>
                <w:lang w:val="pl-PL"/>
              </w:rPr>
              <w:t>surowców;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państwa ułatwiającej zamykanie niekonkurencyjnych kopalń węgla (decyzja Rady nr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2010/787);</w:t>
            </w:r>
          </w:p>
          <w:p w:rsidR="00C203BF" w:rsidRPr="00C203BF" w:rsidRDefault="00C203BF" w:rsidP="004256D8">
            <w:pPr>
              <w:pStyle w:val="TableParagraph"/>
              <w:ind w:left="430" w:right="98"/>
              <w:jc w:val="both"/>
              <w:rPr>
                <w:rFonts w:ascii="Arial Narrow" w:hAnsi="Arial Narrow"/>
                <w:i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*</w:t>
            </w:r>
            <w:r w:rsidRPr="00C203BF">
              <w:rPr>
                <w:rFonts w:ascii="Arial Narrow" w:hAnsi="Arial Narrow"/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 z</w:t>
            </w:r>
            <w:r w:rsidRPr="00C203BF">
              <w:rPr>
                <w:rFonts w:ascii="Arial Narrow" w:hAnsi="Arial Narrow"/>
                <w:i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i/>
                <w:lang w:val="pl-PL"/>
              </w:rPr>
              <w:t>pomocy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78"/>
        </w:trPr>
        <w:tc>
          <w:tcPr>
            <w:tcW w:w="9097" w:type="dxa"/>
            <w:tcBorders>
              <w:top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Artykuł 1 - Wykluczenie przedsiębiorstw, do których zastosowanie ma zasada </w:t>
            </w:r>
            <w:proofErr w:type="spellStart"/>
            <w:r w:rsidRPr="00C203BF">
              <w:rPr>
                <w:rFonts w:ascii="Arial Narrow" w:hAnsi="Arial Narrow"/>
                <w:b/>
                <w:lang w:val="pl-PL"/>
              </w:rPr>
              <w:t>Deggendorf</w:t>
            </w:r>
            <w:proofErr w:type="spellEnd"/>
            <w:r w:rsidRPr="00C203BF">
              <w:rPr>
                <w:rFonts w:ascii="Arial Narrow" w:hAnsi="Arial Narrow"/>
                <w:b/>
                <w:lang w:val="pl-PL"/>
              </w:rPr>
              <w:t xml:space="preserve"> (ust. 4)</w:t>
            </w:r>
          </w:p>
        </w:tc>
        <w:tc>
          <w:tcPr>
            <w:tcW w:w="4678" w:type="dxa"/>
            <w:vMerge w:val="restart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991"/>
        </w:trPr>
        <w:tc>
          <w:tcPr>
            <w:tcW w:w="9097" w:type="dxa"/>
          </w:tcPr>
          <w:p w:rsidR="00C203BF" w:rsidRPr="00C203BF" w:rsidRDefault="00C203BF" w:rsidP="00C203BF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 xml:space="preserve">ma zastosowania do programów pomocy, które nie wykluczają wyraźnie możliwości wypłacenia pomocy indywidualnej na rzecz przedsiębiorstwa, na którym ciąży obowiązek zwrotu  pomocy  wynikający  z  wcześniejszej  decyzji  Komisji  uznającej  pomoc za niezgodną z prawem/z rynkiem wewnętrznym, i </w:t>
            </w: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 xml:space="preserve">ma zastosowania do pomocy </w:t>
            </w:r>
            <w:r w:rsidRPr="00C203BF">
              <w:rPr>
                <w:rFonts w:ascii="Arial Narrow" w:hAnsi="Arial Narrow"/>
                <w:i/>
                <w:lang w:val="pl-PL"/>
              </w:rPr>
              <w:t>ad hoc</w:t>
            </w:r>
            <w:r>
              <w:rPr>
                <w:rFonts w:ascii="Arial Narrow" w:hAnsi="Arial Narrow"/>
                <w:i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dla takiego przedsiębiorstwa</w:t>
            </w:r>
            <w:r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678" w:type="dxa"/>
            <w:vMerge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82"/>
        </w:trPr>
        <w:tc>
          <w:tcPr>
            <w:tcW w:w="9097" w:type="dxa"/>
            <w:shd w:val="clear" w:color="auto" w:fill="D9D9D9" w:themeFill="background1" w:themeFillShade="D9"/>
          </w:tcPr>
          <w:p w:rsidR="00C203BF" w:rsidRPr="00C203BF" w:rsidRDefault="00C203BF" w:rsidP="00C203BF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4678" w:type="dxa"/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423"/>
        </w:trPr>
        <w:tc>
          <w:tcPr>
            <w:tcW w:w="9097" w:type="dxa"/>
          </w:tcPr>
          <w:p w:rsidR="00C203BF" w:rsidRPr="00C203BF" w:rsidRDefault="00C203BF" w:rsidP="00C203BF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przedsiębiorstw znajdujących się w trudnej sytuacji</w:t>
            </w:r>
          </w:p>
        </w:tc>
        <w:tc>
          <w:tcPr>
            <w:tcW w:w="4678" w:type="dxa"/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C203BF" w:rsidRDefault="00C203BF" w:rsidP="00C203BF">
      <w:pPr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C203BF" w:rsidRPr="00C203BF" w:rsidTr="004256D8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lastRenderedPageBreak/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4256D8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C203BF" w:rsidRPr="00C203BF" w:rsidRDefault="00C203BF" w:rsidP="00C203BF">
            <w:pPr>
              <w:pStyle w:val="TableParagraph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F56021">
        <w:trPr>
          <w:trHeight w:hRule="exact" w:val="2591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ind w:right="659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środków pomocy państwa, które nierozerwalnie wiążą się z naruszeniem prawa Unii, w szczególności: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99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jeśli przyznanie pomocy uwarunkowane jest obowiązkiem posiadania przez beneficjenta siedziby w danym państwie członkowskim lub prowadzeniem przez niego działalności w przeważającej mierze w danym państwie członkowskim. Dozwolony jest wymóg posiadania w momencie wypłaty pomocy zakładu lub oddziału w państwie członkowskim przyznającym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right="100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jeśli przyznanie pomocy uwarunkowane jest obowiązkiem korzystania z towarów produkcji krajowej lub usług</w:t>
            </w:r>
            <w:r w:rsidRPr="00C203BF">
              <w:rPr>
                <w:rFonts w:ascii="Arial Narrow" w:hAnsi="Arial Narrow"/>
                <w:spacing w:val="-1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krajowych;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73"/>
              </w:tabs>
              <w:ind w:right="99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członkowskich.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4256D8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4833" w:type="dxa"/>
            <w:vMerge w:val="restart"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F56021">
        <w:trPr>
          <w:trHeight w:hRule="exact" w:val="1582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pomocy przekraczającej następujące progi: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 przypadku pomocy inwestycyjnej na kulturę i zachowanie dziedzictwa kulturowego: 100 mln EUR na projekt; pomoc operacyjna na kulturę i zachowanie dziedzictwa kulturowego: 50 mln EUR dla jednego przedsiębiorstwa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rocznie;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97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 przypadku pomocy na rzecz utworów audiowizualnych: 50 mln EUR na projekt rocznie.</w:t>
            </w:r>
          </w:p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4256D8">
        <w:trPr>
          <w:trHeight w:hRule="exact" w:val="278"/>
        </w:trPr>
        <w:tc>
          <w:tcPr>
            <w:tcW w:w="9097" w:type="dxa"/>
            <w:tcBorders>
              <w:top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proofErr w:type="spellStart"/>
            <w:r w:rsidRPr="00C203BF">
              <w:rPr>
                <w:rFonts w:ascii="Arial Narrow" w:hAnsi="Arial Narrow"/>
                <w:b/>
              </w:rPr>
              <w:t>Artykuł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5 - </w:t>
            </w:r>
            <w:proofErr w:type="spellStart"/>
            <w:r w:rsidRPr="00C203BF">
              <w:rPr>
                <w:rFonts w:ascii="Arial Narrow" w:hAnsi="Arial Narrow"/>
                <w:b/>
              </w:rPr>
              <w:t>Przejrzystość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  <w:b/>
              </w:rPr>
              <w:t>pomocy</w:t>
            </w:r>
            <w:proofErr w:type="spellEnd"/>
          </w:p>
        </w:tc>
        <w:tc>
          <w:tcPr>
            <w:tcW w:w="4833" w:type="dxa"/>
            <w:vMerge w:val="restart"/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F56021">
        <w:trPr>
          <w:trHeight w:hRule="exact" w:val="4273"/>
        </w:trPr>
        <w:tc>
          <w:tcPr>
            <w:tcW w:w="9097" w:type="dxa"/>
          </w:tcPr>
          <w:p w:rsidR="00F56021" w:rsidRPr="00C203BF" w:rsidRDefault="00F56021" w:rsidP="00F56021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Ma zastosowanie tylko do pomocy przejrzystej. Za pomoc przejrzystą uznaje się:</w:t>
            </w:r>
          </w:p>
          <w:p w:rsidR="002E7BFC" w:rsidRDefault="00F56021" w:rsidP="002E7BF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dotacje oraz dotacje na spłatę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odsetek;</w:t>
            </w:r>
          </w:p>
          <w:p w:rsidR="00F56021" w:rsidRPr="002E7BFC" w:rsidRDefault="00F56021" w:rsidP="002E7BF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2E7BFC">
              <w:rPr>
                <w:rFonts w:ascii="Arial Narrow" w:hAnsi="Arial Narrow"/>
                <w:lang w:val="pl-PL"/>
              </w:rPr>
              <w:t>pożyczki (gdzie ekwiwalent dotacji brutto oblicza się na podstawie stopy</w:t>
            </w:r>
            <w:r w:rsidRPr="002E7BFC">
              <w:rPr>
                <w:rFonts w:ascii="Arial Narrow" w:hAnsi="Arial Narrow"/>
                <w:spacing w:val="-3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referencyjnej obowiązującej w dniu przyznania pomocy);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</w:rPr>
            </w:pPr>
            <w:proofErr w:type="spellStart"/>
            <w:r w:rsidRPr="00C203BF">
              <w:rPr>
                <w:rFonts w:ascii="Arial Narrow" w:hAnsi="Arial Narrow"/>
              </w:rPr>
              <w:t>gwarancje</w:t>
            </w:r>
            <w:proofErr w:type="spellEnd"/>
          </w:p>
          <w:p w:rsidR="00F56021" w:rsidRPr="00C203BF" w:rsidRDefault="00F56021" w:rsidP="00F56021">
            <w:pPr>
              <w:pStyle w:val="TableParagraph"/>
              <w:ind w:left="430"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(ekwiwalent dotacji brutto obliczony na podstawie bezpiecznych stawek określonych w obwieszczeniu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Komisji</w:t>
            </w:r>
          </w:p>
          <w:p w:rsidR="00F56021" w:rsidRPr="00C203BF" w:rsidRDefault="00F56021" w:rsidP="00F56021">
            <w:pPr>
              <w:pStyle w:val="TableParagraph"/>
              <w:spacing w:line="253" w:lineRule="exact"/>
              <w:ind w:left="148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lub</w:t>
            </w:r>
          </w:p>
          <w:p w:rsidR="00F56021" w:rsidRPr="00C203BF" w:rsidRDefault="00F56021" w:rsidP="00F56021">
            <w:pPr>
              <w:pStyle w:val="TableParagraph"/>
              <w:ind w:left="430"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</w:t>
            </w:r>
            <w:proofErr w:type="spellStart"/>
            <w:r w:rsidRPr="00C203BF">
              <w:rPr>
                <w:rFonts w:ascii="Arial Narrow" w:hAnsi="Arial Narrow"/>
                <w:lang w:val="pl-PL"/>
              </w:rPr>
              <w:t>wyłączeń</w:t>
            </w:r>
            <w:proofErr w:type="spellEnd"/>
            <w:r w:rsidRPr="00C203BF">
              <w:rPr>
                <w:rFonts w:ascii="Arial Narrow" w:hAnsi="Arial Narrow"/>
                <w:lang w:val="pl-PL"/>
              </w:rPr>
              <w:t xml:space="preserve"> blokowych);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korzyści podatkowe (gdzie przewidziano pułap zapobiegający przekroczeniu obowiązującego</w:t>
            </w:r>
            <w:r w:rsidRPr="00C203BF">
              <w:rPr>
                <w:rFonts w:ascii="Arial Narrow" w:hAnsi="Arial Narrow"/>
                <w:spacing w:val="-1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progu);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C203BF">
              <w:rPr>
                <w:rFonts w:ascii="Arial Narrow" w:hAnsi="Arial Narrow"/>
                <w:spacing w:val="-2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środka)</w:t>
            </w:r>
          </w:p>
        </w:tc>
        <w:tc>
          <w:tcPr>
            <w:tcW w:w="4833" w:type="dxa"/>
            <w:vMerge/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C203BF" w:rsidRPr="00C203BF" w:rsidRDefault="00C203BF" w:rsidP="00C203BF">
      <w:pPr>
        <w:rPr>
          <w:rFonts w:ascii="Arial Narrow" w:hAnsi="Arial Narrow"/>
          <w:sz w:val="22"/>
          <w:szCs w:val="22"/>
        </w:rPr>
        <w:sectPr w:rsidR="00C203BF" w:rsidRPr="00C203BF" w:rsidSect="00C203BF">
          <w:headerReference w:type="default" r:id="rId7"/>
          <w:type w:val="continuous"/>
          <w:pgSz w:w="15840" w:h="12240" w:orient="landscape"/>
          <w:pgMar w:top="720" w:right="720" w:bottom="720" w:left="720" w:header="0" w:footer="170" w:gutter="0"/>
          <w:cols w:space="708"/>
          <w:docGrid w:linePitch="326"/>
        </w:sectPr>
      </w:pPr>
    </w:p>
    <w:p w:rsidR="00C203BF" w:rsidRPr="00C203BF" w:rsidRDefault="00C203BF" w:rsidP="00C203BF">
      <w:pPr>
        <w:pStyle w:val="Tekstpodstawowy"/>
        <w:spacing w:before="5" w:after="1"/>
        <w:rPr>
          <w:rFonts w:ascii="Arial Narrow" w:hAnsi="Arial Narrow"/>
          <w:sz w:val="22"/>
          <w:szCs w:val="22"/>
        </w:rPr>
      </w:pPr>
    </w:p>
    <w:p w:rsidR="00C203BF" w:rsidRDefault="00C203BF" w:rsidP="00C203BF">
      <w:pPr>
        <w:rPr>
          <w:rFonts w:ascii="Arial Narrow" w:hAnsi="Arial Narrow"/>
          <w:sz w:val="22"/>
          <w:szCs w:val="22"/>
        </w:rPr>
      </w:pPr>
    </w:p>
    <w:p w:rsidR="00F56021" w:rsidRDefault="00F56021" w:rsidP="00C203BF">
      <w:pPr>
        <w:rPr>
          <w:rFonts w:ascii="Arial Narrow" w:hAnsi="Arial Narrow"/>
          <w:sz w:val="22"/>
          <w:szCs w:val="22"/>
        </w:rPr>
      </w:pPr>
    </w:p>
    <w:p w:rsidR="00F56021" w:rsidRPr="00C203BF" w:rsidRDefault="00F56021" w:rsidP="00C203BF">
      <w:pPr>
        <w:rPr>
          <w:rFonts w:ascii="Arial Narrow" w:hAnsi="Arial Narrow"/>
          <w:sz w:val="22"/>
          <w:szCs w:val="22"/>
        </w:rPr>
        <w:sectPr w:rsidR="00F56021" w:rsidRPr="00C203BF" w:rsidSect="00C203BF">
          <w:footerReference w:type="default" r:id="rId8"/>
          <w:type w:val="continuous"/>
          <w:pgSz w:w="15840" w:h="12240" w:orient="landscape"/>
          <w:pgMar w:top="720" w:right="720" w:bottom="720" w:left="720" w:header="738" w:footer="756" w:gutter="0"/>
          <w:cols w:space="708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F56021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lastRenderedPageBreak/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F56021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proofErr w:type="spellStart"/>
            <w:r w:rsidRPr="00C203BF">
              <w:rPr>
                <w:rFonts w:ascii="Arial Narrow" w:hAnsi="Arial Narrow"/>
                <w:b/>
              </w:rPr>
              <w:t>Artykuł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7 - </w:t>
            </w:r>
            <w:proofErr w:type="spellStart"/>
            <w:r w:rsidRPr="00C203BF">
              <w:rPr>
                <w:rFonts w:ascii="Arial Narrow" w:hAnsi="Arial Narrow"/>
                <w:b/>
              </w:rPr>
              <w:t>Koszty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  <w:b/>
              </w:rPr>
              <w:t>kwalifikowalne</w:t>
            </w:r>
            <w:proofErr w:type="spellEnd"/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4152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 celów obliczania intensywności pomocy (jeżeli intensywność pomocy nie wynosi 100%)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  <w:tab w:val="left" w:pos="464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kwoty przed potrąceniem podatku lub innych</w:t>
            </w:r>
            <w:r w:rsidRPr="00C203BF">
              <w:rPr>
                <w:rFonts w:ascii="Arial Narrow" w:hAnsi="Arial Narrow"/>
                <w:spacing w:val="-2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opłat;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 przyznawana w formie innej niż dotacja, kwotę pomocy stanowi ekwiwalent dotacji brutto</w:t>
            </w:r>
            <w:r w:rsidRPr="00C203BF">
              <w:rPr>
                <w:rFonts w:ascii="Arial Narrow" w:hAnsi="Arial Narrow"/>
                <w:spacing w:val="-9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pomocy;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</w:t>
            </w:r>
            <w:r w:rsidRPr="00C203BF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="002E7BFC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pomocy);</w:t>
            </w:r>
          </w:p>
          <w:p w:rsidR="002E7BFC" w:rsidRDefault="00F56021" w:rsidP="002E7BFC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1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raty pomocy w formie korzyści podatkowych są dyskontowane na podstawie stóp dyskontowych obowiązujących w momencie realizacji korzyści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podatkowej;</w:t>
            </w:r>
          </w:p>
          <w:p w:rsidR="00F56021" w:rsidRPr="002E7BFC" w:rsidRDefault="00F56021" w:rsidP="002E7BFC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1"/>
              <w:jc w:val="both"/>
              <w:rPr>
                <w:rFonts w:ascii="Arial Narrow" w:hAnsi="Arial Narrow"/>
                <w:lang w:val="pl-PL"/>
              </w:rPr>
            </w:pPr>
            <w:r w:rsidRPr="002E7BFC">
              <w:rPr>
                <w:rFonts w:ascii="Arial Narrow" w:hAnsi="Arial Narrow"/>
                <w:lang w:val="pl-PL"/>
              </w:rPr>
              <w:t xml:space="preserve"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 co  najmniej  równej  stopie  dyskontowej  obowiązującej  w  </w:t>
            </w:r>
            <w:r w:rsidRPr="002E7BFC">
              <w:rPr>
                <w:rFonts w:ascii="Arial Narrow" w:hAnsi="Arial Narrow"/>
                <w:spacing w:val="12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momencie przyznania pomocy, to maksymalne poziomy intensywności pomocy można  zwiększyć o 10 punktów</w:t>
            </w:r>
            <w:r w:rsidRPr="002E7BFC">
              <w:rPr>
                <w:rFonts w:ascii="Arial Narrow" w:hAnsi="Arial Narrow"/>
                <w:spacing w:val="-19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procentowych;</w:t>
            </w:r>
          </w:p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</w:rPr>
            </w:pPr>
            <w:proofErr w:type="spellStart"/>
            <w:r w:rsidRPr="00C203BF">
              <w:rPr>
                <w:rFonts w:ascii="Arial Narrow" w:hAnsi="Arial Narrow"/>
              </w:rPr>
              <w:t>Koszty</w:t>
            </w:r>
            <w:proofErr w:type="spellEnd"/>
            <w:r w:rsidRPr="00C203BF">
              <w:rPr>
                <w:rFonts w:ascii="Arial Narrow" w:hAnsi="Arial Narrow"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</w:rPr>
              <w:t>kwalifikowalne</w:t>
            </w:r>
            <w:proofErr w:type="spellEnd"/>
            <w:r w:rsidRPr="00C203BF">
              <w:rPr>
                <w:rFonts w:ascii="Arial Narrow" w:hAnsi="Arial Narrow"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</w:rPr>
              <w:t>i</w:t>
            </w:r>
            <w:proofErr w:type="spellEnd"/>
            <w:r w:rsidRPr="00C203BF">
              <w:rPr>
                <w:rFonts w:ascii="Arial Narrow" w:hAnsi="Arial Narrow"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</w:rPr>
              <w:t>dokumentacja</w:t>
            </w:r>
            <w:proofErr w:type="spellEnd"/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kwalifikowalne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poparte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jasną,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szczegółową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aktualną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dokumentacją.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proofErr w:type="spellStart"/>
            <w:r w:rsidRPr="00C203BF">
              <w:rPr>
                <w:rFonts w:ascii="Arial Narrow" w:hAnsi="Arial Narrow"/>
                <w:b/>
              </w:rPr>
              <w:t>Artykuł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8 - </w:t>
            </w:r>
            <w:proofErr w:type="spellStart"/>
            <w:r w:rsidRPr="00C203BF">
              <w:rPr>
                <w:rFonts w:ascii="Arial Narrow" w:hAnsi="Arial Narrow"/>
                <w:b/>
              </w:rPr>
              <w:t>Kumulacja</w:t>
            </w:r>
            <w:proofErr w:type="spellEnd"/>
          </w:p>
        </w:tc>
        <w:tc>
          <w:tcPr>
            <w:tcW w:w="4833" w:type="dxa"/>
            <w:vMerge w:val="restart"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4427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 przypadku progów powodujących obowiązek zgłoszenia  oraz maksymalnych progów intensywności pomocy uwzględnia się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całkowitą kwotę </w:t>
            </w:r>
            <w:r w:rsidRPr="00C203BF">
              <w:rPr>
                <w:rFonts w:ascii="Arial Narrow" w:hAnsi="Arial Narrow"/>
                <w:lang w:val="pl-PL"/>
              </w:rPr>
              <w:t>pomocy państwa (ust.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left="462" w:right="98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Jeżeli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finansowanie Unii </w:t>
            </w:r>
            <w:r w:rsidRPr="00C203BF">
              <w:rPr>
                <w:rFonts w:ascii="Arial Narrow" w:hAnsi="Arial Narrow"/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C203BF">
              <w:rPr>
                <w:rFonts w:ascii="Arial Narrow" w:hAnsi="Arial Narrow"/>
                <w:spacing w:val="-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Wyłączoną pomoc można kumulować z wszelką inną pomocą państwa, pod warunkiem że środki te dotyczą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różnych, możliwych do wyodrębnienia kosztów kwalifikowalnych </w:t>
            </w:r>
            <w:r w:rsidRPr="00C203BF">
              <w:rPr>
                <w:rFonts w:ascii="Arial Narrow" w:hAnsi="Arial Narrow"/>
                <w:lang w:val="pl-PL"/>
              </w:rPr>
              <w:t>(ust. 3 lit.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a)).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Brak możliwości kumulowania wyłączonej pomocy z inną pomocą państwa w odniesieniu do </w:t>
            </w:r>
            <w:r w:rsidRPr="00C203BF">
              <w:rPr>
                <w:rFonts w:ascii="Arial Narrow" w:hAnsi="Arial Narrow"/>
                <w:b/>
                <w:lang w:val="pl-PL"/>
              </w:rPr>
              <w:t>tych samych kosztów kwalifikowalnych</w:t>
            </w:r>
            <w:r w:rsidRPr="00C203BF">
              <w:rPr>
                <w:rFonts w:ascii="Arial Narrow" w:hAnsi="Arial Narrow"/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C203BF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b)).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left="462" w:right="99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Pomocy państwa wyłączonej na mocy ogólnego rozporządzenia w sprawie </w:t>
            </w:r>
            <w:proofErr w:type="spellStart"/>
            <w:r w:rsidRPr="00C203BF">
              <w:rPr>
                <w:rFonts w:ascii="Arial Narrow" w:hAnsi="Arial Narrow"/>
                <w:lang w:val="pl-PL"/>
              </w:rPr>
              <w:t>wyłączeń</w:t>
            </w:r>
            <w:proofErr w:type="spellEnd"/>
            <w:r w:rsidRPr="00C203BF">
              <w:rPr>
                <w:rFonts w:ascii="Arial Narrow" w:hAnsi="Arial Narrow"/>
                <w:lang w:val="pl-PL"/>
              </w:rPr>
              <w:t xml:space="preserve"> blokowych nie można kumulować z żadną pomocą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de </w:t>
            </w:r>
            <w:proofErr w:type="spellStart"/>
            <w:r w:rsidRPr="00C203BF">
              <w:rPr>
                <w:rFonts w:ascii="Arial Narrow" w:hAnsi="Arial Narrow"/>
                <w:b/>
                <w:lang w:val="pl-PL"/>
              </w:rPr>
              <w:t>minimis</w:t>
            </w:r>
            <w:proofErr w:type="spellEnd"/>
            <w:r w:rsidRPr="00C203BF">
              <w:rPr>
                <w:rFonts w:ascii="Arial Narrow" w:hAnsi="Arial Narrow"/>
                <w:b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w odniesieniu do tych samych kosztów kwalifikowalnych, jeżeli skutkiem takiej kumulacji byłoby przekroczenie poziomów intensywności pomocy określonych w rozdziale III rozporządzenia (ust.</w:t>
            </w:r>
            <w:r w:rsidRPr="00C203BF">
              <w:rPr>
                <w:rFonts w:ascii="Arial Narrow" w:hAnsi="Arial Narrow"/>
                <w:spacing w:val="-1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5).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F56021" w:rsidRDefault="00F56021" w:rsidP="00C203BF">
      <w:pPr>
        <w:rPr>
          <w:rFonts w:ascii="Arial Narrow" w:hAnsi="Arial Narrow"/>
          <w:sz w:val="22"/>
          <w:szCs w:val="22"/>
        </w:rPr>
      </w:pPr>
    </w:p>
    <w:p w:rsidR="00F56021" w:rsidRDefault="00F56021" w:rsidP="00F56021">
      <w:pPr>
        <w:rPr>
          <w:rFonts w:ascii="Arial Narrow" w:hAnsi="Arial Narrow"/>
          <w:sz w:val="22"/>
          <w:szCs w:val="22"/>
        </w:rPr>
      </w:pPr>
    </w:p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F56021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F56021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proofErr w:type="spellStart"/>
            <w:r w:rsidRPr="00C203BF">
              <w:rPr>
                <w:rFonts w:ascii="Arial Narrow" w:hAnsi="Arial Narrow"/>
                <w:b/>
              </w:rPr>
              <w:t>Artykuł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9 - </w:t>
            </w:r>
            <w:proofErr w:type="spellStart"/>
            <w:r w:rsidRPr="00C203BF">
              <w:rPr>
                <w:rFonts w:ascii="Arial Narrow" w:hAnsi="Arial Narrow"/>
                <w:b/>
              </w:rPr>
              <w:t>Publikacja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  <w:b/>
              </w:rPr>
              <w:t>i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  <w:b/>
              </w:rPr>
              <w:t>informacja</w:t>
            </w:r>
            <w:proofErr w:type="spellEnd"/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7696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Default="00F56021" w:rsidP="00F56021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431"/>
              </w:tabs>
              <w:ind w:right="100" w:hanging="327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Publikacja na kompleksowej stronie internetowej dotyczącej pomocy państwa następujących danych na szczeblu krajowym lub regionalnym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1):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a.</w:t>
            </w:r>
            <w:r w:rsidRPr="00F56021">
              <w:rPr>
                <w:rFonts w:ascii="Arial Narrow" w:hAnsi="Arial Narrow"/>
                <w:lang w:val="pl-PL"/>
              </w:rPr>
              <w:tab/>
              <w:t>skrócone informacje (zob. art. 11) lub link do nich;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b.</w:t>
            </w:r>
            <w:r w:rsidRPr="00F56021">
              <w:rPr>
                <w:rFonts w:ascii="Arial Narrow" w:hAnsi="Arial Narrow"/>
                <w:lang w:val="pl-PL"/>
              </w:rPr>
              <w:tab/>
              <w:t>pełen tekst poszczególnych środków pomocy (zob. art. 11) lub link zapewniający dostęp do pełnego tekstu;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c.</w:t>
            </w:r>
            <w:r w:rsidRPr="00F56021">
              <w:rPr>
                <w:rFonts w:ascii="Arial Narrow" w:hAnsi="Arial Narrow"/>
                <w:lang w:val="pl-PL"/>
              </w:rPr>
              <w:tab/>
              <w:t>informacje na temat każdej pomocy indywidualnej przekraczającej 500 000 EUR (zob.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F56021">
              <w:rPr>
                <w:rFonts w:ascii="Arial Narrow" w:hAnsi="Arial Narrow"/>
                <w:lang w:val="pl-PL"/>
              </w:rPr>
              <w:t>załącznik III).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W odniesieniu do pomocy przyznanej na projekty w ramach europejskiej współpracy terytorialnej, informacje, o których mowa w tym ustępie, umieszcza się na stronie internetowej państwa członkowskiego, w którym dana instytucja zarządzająca,  zgodnie z definicją w art. 21 rozporządzenia Parlamentu Europejskiego i Rady (UE) nr 1299/2013, ma siedzibę. Opcjonalnie, uczestniczące państwa członkowskie mogą również postanowić, że każde z nich dostarcza informacje dotyczące środków pomocy na swoim terytorium na odpowiednich stronach internetowych.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W przypadku programów w formie korzyści podatkowych oraz programów objętych art. 16 i 21 (z wyjątkiem MŚP, które nie zrealizowały żadnej sprzedaży komercyjnej na jakimkolwiek rynku) warunki określone w ust. 1 lit. c) tego artykułu uznaje się za spełnione, jeżeli państwa członkowskie publikują wymagane informacje dotyczące kwot pomocy indywidualnej w następujących przedziałach (w mln EUR) (ust. 2):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0,5-1;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1-2;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2-5;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5-10;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10-30; oraz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30 lub więcej.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Informacje, o których mowa w ust. 1 lit. c), przedstawia się i udostępnia w sposób znormalizowany (zob. załącznik III), umożliwiający ich sprawne wyszukiwanie i pobieranie. Informacje, o których mowa w ust. 1, są publikowane w terminie 6 miesięcy od daty przyznania pomocy lub, w przypadku pomocy w formie ulgi podatkowej, w ciągu 1 roku od daty, w której wymagane jest złożenie deklaracji podatkowej, i będą dostępne co najmniej przez okres 10 lat od dnia, w którym pomoc została przyznana (ust. 4).</w:t>
            </w:r>
          </w:p>
          <w:p w:rsidR="00F56021" w:rsidRPr="00C203BF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Państwa członkowskie muszą zastosować się do przepisów tego artykułu najpóźniej w ciągu dwóch lat od daty wejścia w życie rozporządzenia (tj. 1.7.2016) (ust. 6).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</w:p>
    <w:p w:rsidR="00F56021" w:rsidRDefault="00F56021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</w:p>
    <w:p w:rsidR="00C203BF" w:rsidRPr="00C203BF" w:rsidRDefault="00C203BF" w:rsidP="00C203BF">
      <w:pPr>
        <w:pStyle w:val="Tekstpodstawowy"/>
        <w:spacing w:before="70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Definicje pojęć</w:t>
      </w:r>
      <w:r w:rsidRPr="00C203BF">
        <w:rPr>
          <w:rFonts w:ascii="Arial Narrow" w:hAnsi="Arial Narrow"/>
          <w:sz w:val="22"/>
          <w:szCs w:val="22"/>
        </w:rPr>
        <w:t>: zob. art. 2 (uwaga na nową definicję przedsiębiorstwa znajdującego się w trudnej sytuacji)</w:t>
      </w:r>
    </w:p>
    <w:p w:rsidR="00C203BF" w:rsidRPr="00C203BF" w:rsidRDefault="00C203BF" w:rsidP="00C203BF">
      <w:pPr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Sprawozdawczość</w:t>
      </w:r>
      <w:r w:rsidRPr="00C203BF">
        <w:rPr>
          <w:rFonts w:ascii="Arial Narrow" w:hAnsi="Arial Narrow"/>
          <w:sz w:val="22"/>
          <w:szCs w:val="22"/>
        </w:rPr>
        <w:t>: artykuł 11</w:t>
      </w:r>
    </w:p>
    <w:p w:rsidR="00C203BF" w:rsidRPr="00C203BF" w:rsidRDefault="00C203BF" w:rsidP="00C203BF">
      <w:pPr>
        <w:spacing w:line="252" w:lineRule="exact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 xml:space="preserve">Monitorowanie: </w:t>
      </w:r>
      <w:r w:rsidRPr="00C203BF">
        <w:rPr>
          <w:rFonts w:ascii="Arial Narrow" w:hAnsi="Arial Narrow"/>
          <w:sz w:val="22"/>
          <w:szCs w:val="22"/>
        </w:rPr>
        <w:t>artykuł 12</w:t>
      </w:r>
    </w:p>
    <w:p w:rsidR="00C203BF" w:rsidRPr="00C203BF" w:rsidRDefault="00C203BF" w:rsidP="00C203BF">
      <w:pPr>
        <w:spacing w:line="275" w:lineRule="exact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Wycofanie przywileju wyłączenia grupowego</w:t>
      </w:r>
      <w:r w:rsidRPr="00C203BF">
        <w:rPr>
          <w:rFonts w:ascii="Arial Narrow" w:hAnsi="Arial Narrow"/>
          <w:sz w:val="22"/>
          <w:szCs w:val="22"/>
        </w:rPr>
        <w:t>: artykuł 10</w:t>
      </w:r>
    </w:p>
    <w:p w:rsidR="00C203BF" w:rsidRPr="00C203BF" w:rsidRDefault="00C203BF" w:rsidP="00C203BF">
      <w:pPr>
        <w:pStyle w:val="Nagwek1"/>
        <w:keepNext w:val="0"/>
        <w:keepLines w:val="0"/>
        <w:widowControl w:val="0"/>
        <w:numPr>
          <w:ilvl w:val="0"/>
          <w:numId w:val="18"/>
        </w:numPr>
        <w:tabs>
          <w:tab w:val="left" w:pos="3592"/>
        </w:tabs>
        <w:spacing w:before="1"/>
        <w:ind w:left="3591" w:hanging="257"/>
        <w:jc w:val="left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Szczególne warunki dotyczące pomocy na kulturę i zachowanie dziedzictwa</w:t>
      </w:r>
      <w:r w:rsidRPr="00C203BF">
        <w:rPr>
          <w:rFonts w:ascii="Arial Narrow" w:hAnsi="Arial Narrow"/>
          <w:spacing w:val="-37"/>
          <w:sz w:val="22"/>
          <w:szCs w:val="22"/>
          <w:u w:val="thick"/>
        </w:rPr>
        <w:t xml:space="preserve"> </w:t>
      </w:r>
      <w:r w:rsidRPr="00C203BF">
        <w:rPr>
          <w:rFonts w:ascii="Arial Narrow" w:hAnsi="Arial Narrow"/>
          <w:sz w:val="22"/>
          <w:szCs w:val="22"/>
          <w:u w:val="thick"/>
        </w:rPr>
        <w:t>kulturowego</w:t>
      </w:r>
    </w:p>
    <w:p w:rsidR="00C203BF" w:rsidRPr="00C203BF" w:rsidRDefault="00C203BF" w:rsidP="00C203BF">
      <w:pPr>
        <w:pStyle w:val="Tekstpodstawowy"/>
        <w:spacing w:before="1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1392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4820"/>
      </w:tblGrid>
      <w:tr w:rsidR="00C203BF" w:rsidRPr="00C203BF" w:rsidTr="00A92B2B">
        <w:trPr>
          <w:trHeight w:hRule="exact" w:val="516"/>
        </w:trPr>
        <w:tc>
          <w:tcPr>
            <w:tcW w:w="9106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924" w:right="567"/>
              <w:jc w:val="center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color w:val="FFFFFF"/>
                <w:lang w:val="pl-PL"/>
              </w:rPr>
              <w:t>ARTYKUŁ 53</w:t>
            </w:r>
          </w:p>
          <w:p w:rsidR="00C203BF" w:rsidRPr="00C203BF" w:rsidRDefault="00C203BF" w:rsidP="004256D8">
            <w:pPr>
              <w:pStyle w:val="TableParagraph"/>
              <w:ind w:left="925" w:right="567"/>
              <w:jc w:val="center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color w:val="FFFFFF"/>
                <w:lang w:val="pl-PL"/>
              </w:rPr>
              <w:t>POMOC NA KULTURĘ I ZACHOWANIE DZIEDZICTWA KULTUROWEGO</w:t>
            </w:r>
          </w:p>
        </w:tc>
        <w:tc>
          <w:tcPr>
            <w:tcW w:w="4820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1935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A92B2B">
        <w:trPr>
          <w:trHeight w:hRule="exact" w:val="684"/>
        </w:trPr>
        <w:tc>
          <w:tcPr>
            <w:tcW w:w="9106" w:type="dxa"/>
          </w:tcPr>
          <w:p w:rsidR="00C203BF" w:rsidRPr="00F56021" w:rsidRDefault="00C203BF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Zgodna z rynkiem wewnętrznym i wyłączona z obowiązku zgłoszenia, jeśli mają zastosowanie ogólne warunki zgodności oraz warunki tego artykułu (ust. 1)</w:t>
            </w:r>
          </w:p>
        </w:tc>
        <w:tc>
          <w:tcPr>
            <w:tcW w:w="4820" w:type="dxa"/>
          </w:tcPr>
          <w:p w:rsidR="00C203BF" w:rsidRPr="00F56021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392"/>
        </w:trPr>
        <w:tc>
          <w:tcPr>
            <w:tcW w:w="9106" w:type="dxa"/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Cel pomocy i rodzaj działania</w:t>
            </w:r>
          </w:p>
        </w:tc>
        <w:tc>
          <w:tcPr>
            <w:tcW w:w="4820" w:type="dxa"/>
            <w:shd w:val="clear" w:color="auto" w:fill="DADADA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4285"/>
        </w:trPr>
        <w:tc>
          <w:tcPr>
            <w:tcW w:w="9106" w:type="dxa"/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6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 jest udzielana na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następujące cele i działania kulturalne </w:t>
            </w:r>
            <w:r w:rsidRPr="00C203BF">
              <w:rPr>
                <w:rFonts w:ascii="Arial Narrow" w:hAnsi="Arial Narrow"/>
                <w:lang w:val="pl-PL"/>
              </w:rPr>
              <w:t>(ust.</w:t>
            </w:r>
            <w:r w:rsidRPr="00C203BF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2):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muzea, archiwa, biblioteki, ośrodki lub przestrzenie kulturalne i artystyczne, teatry, opery, sale koncertowe, inne organizacje wystawiające widowiska sceniczne, instytucje odpowiedzialne za dziedzictwo filmowe oraz inne podobne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infrastruktury,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organizacje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instytucje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kulturalne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artystyczne;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materialne zasoby dziedzictwa kulturowego, w tym wszelkie formy ruchomego i nieruchomego dziedzictwa kulturowego, obiekty archeologiczne, pomniki, obiekty i budynki historyczne; dziedzictwo naturalne związane z dziedzictwem kulturowym lub jeśli zostały formalnie uznane za dziedzictwo kulturowe lub naturalne przez właściwe organy publiczne państwa członkowskiego;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niematerialne zasoby dziedzictwa kulturowego w dowolnej formie, w tym zwyczaje ludowe i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rękodzieło;</w:t>
            </w:r>
          </w:p>
          <w:p w:rsidR="009030C8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wydarzenia i spektakle kulturalne lub związane ze sztuką, festiwale, wystawy i inne podobne działania związane z</w:t>
            </w:r>
            <w:r w:rsidRPr="00C203BF">
              <w:rPr>
                <w:rFonts w:ascii="Arial Narrow" w:hAnsi="Arial Narrow"/>
                <w:spacing w:val="-2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kulturą;</w:t>
            </w:r>
          </w:p>
          <w:p w:rsidR="009030C8" w:rsidRPr="009030C8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9030C8">
              <w:rPr>
                <w:rFonts w:ascii="Arial Narrow" w:hAnsi="Arial Narrow"/>
                <w:lang w:val="pl-PL"/>
              </w:rPr>
              <w:t xml:space="preserve">edukacja   kulturalna   i   artystyczna,   jak   również   promowanie   </w:t>
            </w:r>
            <w:r w:rsidRPr="009030C8">
              <w:rPr>
                <w:rFonts w:ascii="Arial Narrow" w:hAnsi="Arial Narrow"/>
                <w:spacing w:val="29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lang w:val="pl-PL"/>
              </w:rPr>
              <w:t>lepszego</w:t>
            </w:r>
            <w:r w:rsidR="009030C8" w:rsidRPr="009030C8">
              <w:rPr>
                <w:rFonts w:ascii="Arial Narrow" w:hAnsi="Arial Narrow"/>
                <w:lang w:val="pl-PL"/>
              </w:rPr>
              <w:t xml:space="preserve"> zrozumienia znaczenia ochrony i propagowania różnorodnych form wyrazu kulturowego, za pośrednictwem programów edukacyjnych oraz programów zwiększających świadomość społeczeństwa, m.in. przy zastosowaniu nowych technologii;</w:t>
            </w:r>
          </w:p>
          <w:p w:rsidR="00C203BF" w:rsidRPr="00C203BF" w:rsidRDefault="009030C8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3"/>
                <w:tab w:val="left" w:pos="824"/>
              </w:tabs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tworzenie, redagowanie, produkcja, dystrybucja, digitalizacja i publikacja utworów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muzycznych i literackich, w tym przekładów</w:t>
            </w:r>
            <w:r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820" w:type="dxa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9030C8" w:rsidRPr="00C203BF" w:rsidTr="00A92B2B">
        <w:trPr>
          <w:trHeight w:hRule="exact" w:val="289"/>
        </w:trPr>
        <w:tc>
          <w:tcPr>
            <w:tcW w:w="9106" w:type="dxa"/>
            <w:shd w:val="clear" w:color="auto" w:fill="D9D9D9" w:themeFill="background1" w:themeFillShade="D9"/>
          </w:tcPr>
          <w:p w:rsidR="009030C8" w:rsidRPr="00C203BF" w:rsidRDefault="009030C8" w:rsidP="009030C8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 xml:space="preserve">Forma </w:t>
            </w:r>
            <w:proofErr w:type="spellStart"/>
            <w:r w:rsidRPr="00C203BF">
              <w:rPr>
                <w:rFonts w:ascii="Arial Narrow" w:hAnsi="Arial Narrow"/>
                <w:b/>
              </w:rPr>
              <w:t>pomocy</w:t>
            </w:r>
            <w:proofErr w:type="spellEnd"/>
            <w:r w:rsidRPr="00C203B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820" w:type="dxa"/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30C8" w:rsidRPr="00C203BF" w:rsidTr="00A92B2B">
        <w:trPr>
          <w:trHeight w:hRule="exact" w:val="1119"/>
        </w:trPr>
        <w:tc>
          <w:tcPr>
            <w:tcW w:w="9106" w:type="dxa"/>
          </w:tcPr>
          <w:p w:rsidR="009030C8" w:rsidRPr="00C203BF" w:rsidRDefault="009030C8" w:rsidP="009030C8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4"/>
              </w:tabs>
              <w:spacing w:line="268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 może przybrać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formę </w:t>
            </w:r>
            <w:r w:rsidRPr="00C203BF">
              <w:rPr>
                <w:rFonts w:ascii="Arial Narrow" w:hAnsi="Arial Narrow"/>
                <w:lang w:val="pl-PL"/>
              </w:rPr>
              <w:t>(ust.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3):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  <w:ind w:right="1005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inwestycyjnej, w tym pomocy na budowę lub modernizację infrastruktury</w:t>
            </w:r>
            <w:r w:rsidRPr="00C203BF">
              <w:rPr>
                <w:rFonts w:ascii="Arial Narrow" w:hAnsi="Arial Narrow"/>
                <w:spacing w:val="-1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kulturalnej;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ind w:right="0"/>
              <w:rPr>
                <w:rFonts w:ascii="Arial Narrow" w:hAnsi="Arial Narrow"/>
              </w:rPr>
            </w:pPr>
            <w:proofErr w:type="spellStart"/>
            <w:r w:rsidRPr="00C203BF">
              <w:rPr>
                <w:rFonts w:ascii="Arial Narrow" w:hAnsi="Arial Narrow"/>
              </w:rPr>
              <w:t>pomocy</w:t>
            </w:r>
            <w:proofErr w:type="spellEnd"/>
            <w:r w:rsidRPr="00C203BF">
              <w:rPr>
                <w:rFonts w:ascii="Arial Narrow" w:hAnsi="Arial Narrow"/>
                <w:spacing w:val="-11"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</w:rPr>
              <w:t>operacyjnej</w:t>
            </w:r>
            <w:proofErr w:type="spellEnd"/>
            <w:r w:rsidRPr="00C203BF">
              <w:rPr>
                <w:rFonts w:ascii="Arial Narrow" w:hAnsi="Arial Narrow"/>
              </w:rPr>
              <w:t>.</w:t>
            </w:r>
          </w:p>
        </w:tc>
        <w:tc>
          <w:tcPr>
            <w:tcW w:w="4820" w:type="dxa"/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030C8" w:rsidRDefault="009030C8" w:rsidP="00C203BF">
      <w:pPr>
        <w:rPr>
          <w:rFonts w:ascii="Arial Narrow" w:hAnsi="Arial Narrow"/>
          <w:sz w:val="22"/>
          <w:szCs w:val="22"/>
        </w:rPr>
      </w:pPr>
    </w:p>
    <w:p w:rsidR="009030C8" w:rsidRDefault="009030C8" w:rsidP="009030C8">
      <w:pPr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139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  <w:gridCol w:w="4536"/>
      </w:tblGrid>
      <w:tr w:rsidR="009030C8" w:rsidRPr="00C203BF" w:rsidTr="00A92B2B">
        <w:trPr>
          <w:trHeight w:hRule="exact" w:val="258"/>
        </w:trPr>
        <w:tc>
          <w:tcPr>
            <w:tcW w:w="9381" w:type="dxa"/>
            <w:shd w:val="clear" w:color="auto" w:fill="333399"/>
          </w:tcPr>
          <w:p w:rsidR="009030C8" w:rsidRPr="00C203BF" w:rsidRDefault="009030C8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  <w:shd w:val="clear" w:color="auto" w:fill="333399"/>
          </w:tcPr>
          <w:p w:rsidR="009030C8" w:rsidRPr="00C203BF" w:rsidRDefault="009030C8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9030C8" w:rsidRPr="00C203BF" w:rsidTr="00A92B2B">
        <w:trPr>
          <w:trHeight w:hRule="exact" w:val="268"/>
        </w:trPr>
        <w:tc>
          <w:tcPr>
            <w:tcW w:w="9381" w:type="dxa"/>
            <w:tcBorders>
              <w:bottom w:val="single" w:sz="4" w:space="0" w:color="auto"/>
            </w:tcBorders>
            <w:shd w:val="clear" w:color="auto" w:fill="DADADA"/>
          </w:tcPr>
          <w:p w:rsidR="009030C8" w:rsidRPr="00C203BF" w:rsidRDefault="009030C8" w:rsidP="009030C8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proofErr w:type="spellStart"/>
            <w:r w:rsidRPr="00C203BF">
              <w:rPr>
                <w:rFonts w:ascii="Arial Narrow" w:hAnsi="Arial Narrow"/>
                <w:b/>
              </w:rPr>
              <w:t>Koszty</w:t>
            </w:r>
            <w:proofErr w:type="spellEnd"/>
            <w:r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203BF">
              <w:rPr>
                <w:rFonts w:ascii="Arial Narrow" w:hAnsi="Arial Narrow"/>
                <w:b/>
              </w:rPr>
              <w:t>kwalifikowalne</w:t>
            </w:r>
            <w:proofErr w:type="spellEnd"/>
          </w:p>
        </w:tc>
        <w:tc>
          <w:tcPr>
            <w:tcW w:w="4536" w:type="dxa"/>
            <w:vMerge w:val="restart"/>
            <w:tcBorders>
              <w:left w:val="single" w:sz="41" w:space="0" w:color="DADADA"/>
            </w:tcBorders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9030C8" w:rsidRPr="00C203BF" w:rsidTr="00A92B2B">
        <w:trPr>
          <w:trHeight w:hRule="exact" w:val="8858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C8" w:rsidRPr="00C203BF" w:rsidRDefault="009030C8" w:rsidP="009030C8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ind w:right="187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inwestycyjnej za koszty kwalifikowalne </w:t>
            </w:r>
            <w:r w:rsidRPr="00C203BF">
              <w:rPr>
                <w:rFonts w:ascii="Arial Narrow" w:hAnsi="Arial Narrow"/>
                <w:lang w:val="pl-PL"/>
              </w:rPr>
              <w:t>uznaje się koszty inwestycji w rzeczowe aktywa trwałe i wartości niematerialne i prawne, w tym (ust.</w:t>
            </w:r>
            <w:r w:rsidRPr="00C203BF">
              <w:rPr>
                <w:rFonts w:ascii="Arial Narrow" w:hAnsi="Arial Narrow"/>
                <w:spacing w:val="-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4):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100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budowy, modernizacji, nabycia, konserwacji lub poprawy infrastruktury, jeżeli w skali roku przynajmniej 80 % czasu lub przestrzeni tej infrastruktury jest wykorzystywane do celów związanych z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kulturą;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101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nabycia, w tym leasingu, przekazania własności lub fizycznej relokacji dziedzictwa</w:t>
            </w:r>
            <w:r w:rsidRPr="00C203BF">
              <w:rPr>
                <w:rFonts w:ascii="Arial Narrow" w:hAnsi="Arial Narrow"/>
                <w:spacing w:val="-1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kulturowego;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zabezpieczenia, ochrony, renowacji i odnowy materialnych i niematerialnych zasobów dziedzictwa kulturowego, w tym dodatkowe koszty przechowywania w odpowiednich warunkach, specjalnych narzędzi, materiałów oraz koszty dokumentacji, badań, digitalizacji i</w:t>
            </w:r>
            <w:r w:rsidRPr="00C203BF">
              <w:rPr>
                <w:rFonts w:ascii="Arial Narrow" w:hAnsi="Arial Narrow"/>
                <w:spacing w:val="-33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publikacji;</w:t>
            </w:r>
          </w:p>
          <w:p w:rsidR="009030C8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poprawy dostępu do dziedzictwa kulturowego, w tym koszty digitalizacji i innych nowych technologii, koszty poprawy dostępu dla osób o specjalnych potrzebach (w szczególności rampy i windy dla niepełnosprawnych, objaśnienia w języku Braille'a i eksponaty dotykowe w muzeach) oraz promowania różnorodności kulturowej w odniesieniu do prezentacji, programów i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odwiedzających;</w:t>
            </w:r>
          </w:p>
          <w:p w:rsidR="009030C8" w:rsidRPr="009030C8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9030C8">
              <w:rPr>
                <w:rFonts w:ascii="Arial Narrow" w:hAnsi="Arial Narrow"/>
                <w:lang w:val="pl-PL"/>
              </w:rPr>
              <w:t>koszty projektów i działań kulturalnych, programów współpracy i wymiany oraz dotacje, w tym koszty procedur wyboru, promocji oraz koszty ponoszone bezpośrednio w wyniku projektu;</w:t>
            </w:r>
          </w:p>
          <w:p w:rsidR="009030C8" w:rsidRPr="00A92B2B" w:rsidRDefault="009030C8" w:rsidP="009030C8">
            <w:pPr>
              <w:pStyle w:val="Akapitzlist"/>
              <w:numPr>
                <w:ilvl w:val="0"/>
                <w:numId w:val="6"/>
              </w:numPr>
              <w:tabs>
                <w:tab w:val="left" w:pos="592"/>
                <w:tab w:val="left" w:pos="576"/>
              </w:tabs>
              <w:ind w:left="592" w:right="142" w:hanging="425"/>
              <w:contextualSpacing w:val="0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A92B2B">
              <w:rPr>
                <w:rFonts w:ascii="Arial Narrow" w:hAnsi="Arial Narrow"/>
                <w:b/>
                <w:sz w:val="22"/>
                <w:szCs w:val="22"/>
                <w:lang w:val="pl-PL"/>
              </w:rPr>
              <w:t xml:space="preserve">W przypadku pomocy operacyjnej za koszty kwalifikowalne </w:t>
            </w: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uznaje się (ust. 5):</w:t>
            </w:r>
          </w:p>
          <w:p w:rsidR="009030C8" w:rsidRPr="00A92B2B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koszty instytucji kulturalnej lub obiektu dziedzictwa kulturowego związane z ciągłymi lub okresowymi działaniami, takimi jak wystawy, spektakle i wydarzenia oraz podobne działania kulturalne mające miejsce w ramach podstawowej działalności</w:t>
            </w:r>
            <w:r w:rsidRPr="00A92B2B">
              <w:rPr>
                <w:rFonts w:ascii="Arial Narrow" w:hAnsi="Arial Narrow"/>
                <w:spacing w:val="-21"/>
                <w:sz w:val="22"/>
                <w:szCs w:val="22"/>
                <w:lang w:val="pl-PL"/>
              </w:rPr>
              <w:t xml:space="preserve"> </w:t>
            </w: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gospodarczej;</w:t>
            </w:r>
          </w:p>
          <w:p w:rsidR="009030C8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edukacji kulturalnej i artystycznej, jak również koszty promowania lepszego zrozumienia znaczenia ochrony i propagowania różnorodnych form wyrazu kulturowego za pośrednictwem programów edukacyjnych oraz programów zwiększających świadomość społeczeństwa, m.in. przy zastosowaniu nowych</w:t>
            </w:r>
            <w:r w:rsidRPr="009030C8">
              <w:rPr>
                <w:rFonts w:ascii="Arial Narrow" w:hAnsi="Arial Narrow"/>
                <w:spacing w:val="-18"/>
                <w:sz w:val="22"/>
                <w:szCs w:val="22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technologii;</w:t>
            </w:r>
          </w:p>
          <w:p w:rsidR="009030C8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poprawy dostępu społeczeństwa do instytucji kultury lub obiektów dziedzictwa kulturowego i działań, w tym koszty digitalizacji i stosowania nowych technologii, a także koszty poprawy dostępności dla osób niepełnosprawnych;</w:t>
            </w:r>
          </w:p>
          <w:p w:rsidR="000C4B12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operacyjne bezpośrednio związane z projektem lub działaniem kulturalnym, np. wynajem lub dzierżawa nieruchomości lub obiektów kulturalnych, koszty podróży i materiałów bezpośrednio związanych z projektem lub działaniem kulturalnym, koszty struktur architektonicznych na potrzeby wystaw i dekoracji scenicznych, wypożyczenie, dzierżawa i amortyzacja narzędzi, oprogramowania i sprzętu, koszty praw dostępu do utworów chronionych prawem autorskim oraz innych powiązanych treści chronionych prawem własności intelektualnej, koszty promocji oraz koszty ponoszone bezpośrednio w wyniku projektu lub działalności; koszty amortyzacji i koszty finansowania są kwalifikowalne tylko wówczas, gdy nie zostały objęte pomocą</w:t>
            </w:r>
            <w:r w:rsidRPr="009030C8">
              <w:rPr>
                <w:rFonts w:ascii="Arial Narrow" w:hAnsi="Arial Narrow"/>
                <w:spacing w:val="-18"/>
                <w:sz w:val="22"/>
                <w:szCs w:val="22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inwestycyjną;</w:t>
            </w:r>
          </w:p>
          <w:p w:rsidR="000C4B12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koszty personelu pracującego na rzecz instytucji kulturalnej lub obiektu dziedzictwa kulturowego lub</w:t>
            </w:r>
            <w:r w:rsidRPr="000C4B12">
              <w:rPr>
                <w:rFonts w:ascii="Arial Narrow" w:hAnsi="Arial Narrow"/>
                <w:spacing w:val="-19"/>
                <w:sz w:val="22"/>
                <w:szCs w:val="22"/>
                <w:lang w:val="pl-PL"/>
              </w:rPr>
              <w:t xml:space="preserve"> </w:t>
            </w: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projektu;</w:t>
            </w:r>
          </w:p>
          <w:p w:rsidR="009030C8" w:rsidRPr="00C203BF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koszty usług doradczych i wspierających świadczonych przez konsultantów zewnętrznych i usługodawców, ponoszone bezpośrednio w wyniku projektu</w:t>
            </w:r>
            <w:r w:rsidR="000C4B12">
              <w:rPr>
                <w:rFonts w:ascii="Arial Narrow" w:hAnsi="Arial Narrow"/>
                <w:sz w:val="22"/>
                <w:szCs w:val="22"/>
                <w:lang w:val="pl-PL"/>
              </w:rPr>
              <w:t xml:space="preserve"> </w:t>
            </w:r>
            <w:r w:rsidR="000C4B12" w:rsidRPr="000C4B12">
              <w:rPr>
                <w:rFonts w:ascii="Arial Narrow" w:hAnsi="Arial Narrow"/>
                <w:sz w:val="22"/>
                <w:szCs w:val="22"/>
                <w:lang w:val="pl-PL"/>
              </w:rPr>
              <w:t>lub działalności.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tbl>
      <w:tblPr>
        <w:tblW w:w="139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  <w:gridCol w:w="4536"/>
      </w:tblGrid>
      <w:tr w:rsidR="000C4B12" w:rsidRPr="000C4B12" w:rsidTr="00A92B2B">
        <w:trPr>
          <w:trHeight w:hRule="exact" w:val="268"/>
        </w:trPr>
        <w:tc>
          <w:tcPr>
            <w:tcW w:w="9381" w:type="dxa"/>
            <w:tcBorders>
              <w:bottom w:val="single" w:sz="4" w:space="0" w:color="auto"/>
            </w:tcBorders>
            <w:shd w:val="clear" w:color="auto" w:fill="DADADA"/>
          </w:tcPr>
          <w:p w:rsidR="000C4B12" w:rsidRPr="00C203BF" w:rsidRDefault="00A92B2B" w:rsidP="000C4B12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M</w:t>
            </w:r>
            <w:r w:rsidR="000C4B12" w:rsidRPr="00C203BF">
              <w:rPr>
                <w:rFonts w:ascii="Arial Narrow" w:hAnsi="Arial Narrow"/>
                <w:b/>
              </w:rPr>
              <w:t>aksymalne</w:t>
            </w:r>
            <w:proofErr w:type="spellEnd"/>
            <w:r w:rsidR="000C4B12"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0C4B12" w:rsidRPr="00C203BF">
              <w:rPr>
                <w:rFonts w:ascii="Arial Narrow" w:hAnsi="Arial Narrow"/>
                <w:b/>
              </w:rPr>
              <w:t>progi</w:t>
            </w:r>
            <w:proofErr w:type="spellEnd"/>
            <w:r w:rsidR="000C4B12" w:rsidRPr="00C203B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0C4B12" w:rsidRPr="00C203BF">
              <w:rPr>
                <w:rFonts w:ascii="Arial Narrow" w:hAnsi="Arial Narrow"/>
                <w:b/>
              </w:rPr>
              <w:t>pomocy</w:t>
            </w:r>
            <w:proofErr w:type="spellEnd"/>
          </w:p>
        </w:tc>
        <w:tc>
          <w:tcPr>
            <w:tcW w:w="4536" w:type="dxa"/>
            <w:vMerge w:val="restart"/>
            <w:tcBorders>
              <w:left w:val="single" w:sz="41" w:space="0" w:color="DADADA"/>
            </w:tcBorders>
          </w:tcPr>
          <w:p w:rsidR="000C4B12" w:rsidRPr="000C4B12" w:rsidRDefault="000C4B12" w:rsidP="000C4B1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B12" w:rsidRPr="000C4B12" w:rsidTr="00A92B2B">
        <w:trPr>
          <w:trHeight w:hRule="exact" w:val="4750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inwestycyjnej kwota pomocy nie przekracza </w:t>
            </w:r>
            <w:r w:rsidRPr="00C203BF">
              <w:rPr>
                <w:rFonts w:ascii="Arial Narrow" w:hAnsi="Arial Narrow"/>
                <w:lang w:val="pl-PL"/>
              </w:rPr>
              <w:t xml:space="preserve">różnicy między kosztami kwalifikowalnymi a zyskiem operacyjnym z inwestycji. Zysk operacyjny odlicza się od kosztów kwalifikowalnych ex </w:t>
            </w:r>
            <w:proofErr w:type="spellStart"/>
            <w:r w:rsidRPr="00C203BF">
              <w:rPr>
                <w:rFonts w:ascii="Arial Narrow" w:hAnsi="Arial Narrow"/>
                <w:lang w:val="pl-PL"/>
              </w:rPr>
              <w:t>ante</w:t>
            </w:r>
            <w:proofErr w:type="spellEnd"/>
            <w:r w:rsidRPr="00C203BF">
              <w:rPr>
                <w:rFonts w:ascii="Arial Narrow" w:hAnsi="Arial Narrow"/>
                <w:lang w:val="pl-PL"/>
              </w:rPr>
              <w:t>, na podstawie rozsądnych prognoz, albo poprzez mechanizm wycofania. Operator infrastruktury ma prawo zatrzymać rozsądny zysk przez odnośny okres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6).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left="462" w:right="98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operacyjnej kwota pomocy nie przekracza </w:t>
            </w:r>
            <w:r w:rsidRPr="00C203BF">
              <w:rPr>
                <w:rFonts w:ascii="Arial Narrow" w:hAnsi="Arial Narrow"/>
                <w:lang w:val="pl-PL"/>
              </w:rPr>
              <w:t xml:space="preserve">poziomu, który jest konieczny, by pokryć straty operacyjne i rozsądny zysk w odnośnym okresie. Powyższe należy zapewnić na zasadzie </w:t>
            </w:r>
            <w:r w:rsidRPr="00C203BF">
              <w:rPr>
                <w:rFonts w:ascii="Arial Narrow" w:hAnsi="Arial Narrow"/>
                <w:i/>
                <w:lang w:val="pl-PL"/>
              </w:rPr>
              <w:t xml:space="preserve">ex </w:t>
            </w:r>
            <w:proofErr w:type="spellStart"/>
            <w:r w:rsidRPr="00C203BF">
              <w:rPr>
                <w:rFonts w:ascii="Arial Narrow" w:hAnsi="Arial Narrow"/>
                <w:i/>
                <w:lang w:val="pl-PL"/>
              </w:rPr>
              <w:t>ante</w:t>
            </w:r>
            <w:proofErr w:type="spellEnd"/>
            <w:r w:rsidRPr="00C203BF">
              <w:rPr>
                <w:rFonts w:ascii="Arial Narrow" w:hAnsi="Arial Narrow"/>
                <w:lang w:val="pl-PL"/>
              </w:rPr>
              <w:t>, na podstawie rozsądnych prognoz, lub przy zastosowaniu mechanizmu wycofania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7).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462" w:right="102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W przypadku pomocy nieprzekraczającej 1 mln EUR</w:t>
            </w:r>
            <w:r w:rsidRPr="00C203BF">
              <w:rPr>
                <w:rFonts w:ascii="Arial Narrow" w:hAnsi="Arial Narrow"/>
                <w:lang w:val="pl-PL"/>
              </w:rPr>
              <w:t>, maksymalną kwotę pomocy można ustalić, alternatywnie wobec metody, o której mowa w ust. 6 i 7, na poziomie 80 % kosztów kwalifikowalnych (ust.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8).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462"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 przypadku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publikowania muzyki i literatury </w:t>
            </w:r>
            <w:r w:rsidRPr="00C203BF">
              <w:rPr>
                <w:rFonts w:ascii="Arial Narrow" w:hAnsi="Arial Narrow"/>
                <w:lang w:val="pl-PL"/>
              </w:rPr>
              <w:t xml:space="preserve">zgodnie z definicją w ust. 2 lit. f), maksymalna kwota pomocy nie przekracza ani różnicy między kosztami kwalifikowalnymi i zdyskontowanymi przychodami projektu ani 70 % kosztów kwalifikowalnych. Przychody odlicza się od kosztów kwalifikowalnych na zasadzie </w:t>
            </w:r>
            <w:r w:rsidRPr="00C203BF">
              <w:rPr>
                <w:rFonts w:ascii="Arial Narrow" w:hAnsi="Arial Narrow"/>
                <w:i/>
                <w:lang w:val="pl-PL"/>
              </w:rPr>
              <w:t xml:space="preserve">ex </w:t>
            </w:r>
            <w:proofErr w:type="spellStart"/>
            <w:r w:rsidRPr="00C203BF">
              <w:rPr>
                <w:rFonts w:ascii="Arial Narrow" w:hAnsi="Arial Narrow"/>
                <w:i/>
                <w:lang w:val="pl-PL"/>
              </w:rPr>
              <w:t>ante</w:t>
            </w:r>
            <w:proofErr w:type="spellEnd"/>
            <w:r w:rsidRPr="00C203BF">
              <w:rPr>
                <w:rFonts w:ascii="Arial Narrow" w:hAnsi="Arial Narrow"/>
                <w:i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albo przy użyciu mechanizmu wycofania. Kosztami kwalifikowalnymi są koszty publikacji muzyki i literatury, w tym wynagrodzenie autorów (koszty praw autorskich), tłumaczy, wydawców, inne koszty redakcyjne (korekta tekstu, rewizja), koszty związane z opracowaniem układu tekstu i przygotowaniem do druku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bookmarkStart w:id="0" w:name="_GoBack"/>
            <w:bookmarkEnd w:id="0"/>
            <w:r w:rsidRPr="00C203BF">
              <w:rPr>
                <w:rFonts w:ascii="Arial Narrow" w:hAnsi="Arial Narrow"/>
                <w:spacing w:val="-39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oraz koszty drukowania lub publikacji on-line (ust. 9).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Pomoc dla prasy i magazynów</w:t>
            </w:r>
            <w:r w:rsidRPr="00C203BF">
              <w:rPr>
                <w:rFonts w:ascii="Arial Narrow" w:hAnsi="Arial Narrow"/>
                <w:lang w:val="pl-PL"/>
              </w:rPr>
              <w:t>, niezależnie od tego, czy są one publikowane w wersji papierowej czy elektronicznej, nie kwalifikuje się do objęcia zakresem tego artykułu (ust.</w:t>
            </w:r>
            <w:r w:rsidRPr="00C203BF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10).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0C4B12" w:rsidRPr="000C4B12" w:rsidRDefault="000C4B12" w:rsidP="000C4B1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C4B12" w:rsidRDefault="000C4B12" w:rsidP="00C203BF">
      <w:pPr>
        <w:jc w:val="both"/>
        <w:rPr>
          <w:rFonts w:ascii="Arial Narrow" w:hAnsi="Arial Narrow"/>
          <w:sz w:val="22"/>
          <w:szCs w:val="22"/>
        </w:rPr>
      </w:pPr>
    </w:p>
    <w:p w:rsidR="000C4B12" w:rsidRP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P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C203BF" w:rsidRPr="00C203BF" w:rsidRDefault="000C4B12" w:rsidP="000C4B12">
      <w:pPr>
        <w:tabs>
          <w:tab w:val="left" w:pos="63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C203BF" w:rsidRPr="00C203BF" w:rsidSect="00C203B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7FC" w:rsidRDefault="00E447FC">
      <w:r>
        <w:separator/>
      </w:r>
    </w:p>
  </w:endnote>
  <w:endnote w:type="continuationSeparator" w:id="0">
    <w:p w:rsidR="00E447FC" w:rsidRDefault="00E4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717806"/>
      <w:docPartObj>
        <w:docPartGallery w:val="Page Numbers (Bottom of Page)"/>
        <w:docPartUnique/>
      </w:docPartObj>
    </w:sdtPr>
    <w:sdtEndPr/>
    <w:sdtContent>
      <w:p w:rsidR="007848C4" w:rsidRDefault="00BD6E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FC">
          <w:rPr>
            <w:noProof/>
          </w:rPr>
          <w:t>5</w:t>
        </w:r>
        <w:r>
          <w:fldChar w:fldCharType="end"/>
        </w:r>
      </w:p>
    </w:sdtContent>
  </w:sdt>
  <w:p w:rsidR="007848C4" w:rsidRDefault="002E7BF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7FC" w:rsidRDefault="00E447FC">
      <w:r>
        <w:separator/>
      </w:r>
    </w:p>
  </w:footnote>
  <w:footnote w:type="continuationSeparator" w:id="0">
    <w:p w:rsidR="00E447FC" w:rsidRDefault="00E4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C4" w:rsidRDefault="002E7BF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622"/>
    <w:multiLevelType w:val="hybridMultilevel"/>
    <w:tmpl w:val="EB1AF394"/>
    <w:lvl w:ilvl="0" w:tplc="2DC4220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0C74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2C2B55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70CD29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16DC3B5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E78449E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B4C47C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52EEF2D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D63E6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" w15:restartNumberingAfterBreak="0">
    <w:nsid w:val="11A4770E"/>
    <w:multiLevelType w:val="hybridMultilevel"/>
    <w:tmpl w:val="5052B31C"/>
    <w:lvl w:ilvl="0" w:tplc="E1AAE020">
      <w:start w:val="1"/>
      <w:numFmt w:val="lowerLetter"/>
      <w:lvlText w:val="%1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F14A2A70">
      <w:start w:val="1"/>
      <w:numFmt w:val="bullet"/>
      <w:lvlText w:val="•"/>
      <w:lvlJc w:val="left"/>
      <w:pPr>
        <w:ind w:left="2366" w:hanging="393"/>
      </w:pPr>
      <w:rPr>
        <w:rFonts w:hint="default"/>
      </w:rPr>
    </w:lvl>
    <w:lvl w:ilvl="2" w:tplc="608072A0">
      <w:start w:val="1"/>
      <w:numFmt w:val="bullet"/>
      <w:lvlText w:val="•"/>
      <w:lvlJc w:val="left"/>
      <w:pPr>
        <w:ind w:left="3752" w:hanging="393"/>
      </w:pPr>
      <w:rPr>
        <w:rFonts w:hint="default"/>
      </w:rPr>
    </w:lvl>
    <w:lvl w:ilvl="3" w:tplc="FB129BA6">
      <w:start w:val="1"/>
      <w:numFmt w:val="bullet"/>
      <w:lvlText w:val="•"/>
      <w:lvlJc w:val="left"/>
      <w:pPr>
        <w:ind w:left="5138" w:hanging="393"/>
      </w:pPr>
      <w:rPr>
        <w:rFonts w:hint="default"/>
      </w:rPr>
    </w:lvl>
    <w:lvl w:ilvl="4" w:tplc="D50CA368">
      <w:start w:val="1"/>
      <w:numFmt w:val="bullet"/>
      <w:lvlText w:val="•"/>
      <w:lvlJc w:val="left"/>
      <w:pPr>
        <w:ind w:left="6524" w:hanging="393"/>
      </w:pPr>
      <w:rPr>
        <w:rFonts w:hint="default"/>
      </w:rPr>
    </w:lvl>
    <w:lvl w:ilvl="5" w:tplc="38AEDB4C">
      <w:start w:val="1"/>
      <w:numFmt w:val="bullet"/>
      <w:lvlText w:val="•"/>
      <w:lvlJc w:val="left"/>
      <w:pPr>
        <w:ind w:left="7910" w:hanging="393"/>
      </w:pPr>
      <w:rPr>
        <w:rFonts w:hint="default"/>
      </w:rPr>
    </w:lvl>
    <w:lvl w:ilvl="6" w:tplc="B6FC86E2">
      <w:start w:val="1"/>
      <w:numFmt w:val="bullet"/>
      <w:lvlText w:val="•"/>
      <w:lvlJc w:val="left"/>
      <w:pPr>
        <w:ind w:left="9296" w:hanging="393"/>
      </w:pPr>
      <w:rPr>
        <w:rFonts w:hint="default"/>
      </w:rPr>
    </w:lvl>
    <w:lvl w:ilvl="7" w:tplc="360E0314">
      <w:start w:val="1"/>
      <w:numFmt w:val="bullet"/>
      <w:lvlText w:val="•"/>
      <w:lvlJc w:val="left"/>
      <w:pPr>
        <w:ind w:left="10682" w:hanging="393"/>
      </w:pPr>
      <w:rPr>
        <w:rFonts w:hint="default"/>
      </w:rPr>
    </w:lvl>
    <w:lvl w:ilvl="8" w:tplc="9612D718">
      <w:start w:val="1"/>
      <w:numFmt w:val="bullet"/>
      <w:lvlText w:val="•"/>
      <w:lvlJc w:val="left"/>
      <w:pPr>
        <w:ind w:left="12068" w:hanging="393"/>
      </w:pPr>
      <w:rPr>
        <w:rFonts w:hint="default"/>
      </w:rPr>
    </w:lvl>
  </w:abstractNum>
  <w:abstractNum w:abstractNumId="2" w15:restartNumberingAfterBreak="0">
    <w:nsid w:val="187C7F26"/>
    <w:multiLevelType w:val="hybridMultilevel"/>
    <w:tmpl w:val="47B437E0"/>
    <w:lvl w:ilvl="0" w:tplc="D65052B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F8D6D8C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6E011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2E63C8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F2458A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E685A0E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3F4330C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E0EAD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74011A2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" w15:restartNumberingAfterBreak="0">
    <w:nsid w:val="19C5572D"/>
    <w:multiLevelType w:val="hybridMultilevel"/>
    <w:tmpl w:val="26BA35AC"/>
    <w:lvl w:ilvl="0" w:tplc="7B363A74">
      <w:start w:val="1"/>
      <w:numFmt w:val="bullet"/>
      <w:lvlText w:val=""/>
      <w:lvlJc w:val="left"/>
      <w:pPr>
        <w:ind w:left="553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04227E">
      <w:start w:val="1"/>
      <w:numFmt w:val="bullet"/>
      <w:lvlText w:val="•"/>
      <w:lvlJc w:val="left"/>
      <w:pPr>
        <w:ind w:left="940" w:hanging="282"/>
      </w:pPr>
      <w:rPr>
        <w:rFonts w:hint="default"/>
      </w:rPr>
    </w:lvl>
    <w:lvl w:ilvl="2" w:tplc="80BAF2CC">
      <w:start w:val="1"/>
      <w:numFmt w:val="bullet"/>
      <w:lvlText w:val="•"/>
      <w:lvlJc w:val="left"/>
      <w:pPr>
        <w:ind w:left="2484" w:hanging="282"/>
      </w:pPr>
      <w:rPr>
        <w:rFonts w:hint="default"/>
      </w:rPr>
    </w:lvl>
    <w:lvl w:ilvl="3" w:tplc="30DA8CBC">
      <w:start w:val="1"/>
      <w:numFmt w:val="bullet"/>
      <w:lvlText w:val="•"/>
      <w:lvlJc w:val="left"/>
      <w:pPr>
        <w:ind w:left="4028" w:hanging="282"/>
      </w:pPr>
      <w:rPr>
        <w:rFonts w:hint="default"/>
      </w:rPr>
    </w:lvl>
    <w:lvl w:ilvl="4" w:tplc="82D2448C">
      <w:start w:val="1"/>
      <w:numFmt w:val="bullet"/>
      <w:lvlText w:val="•"/>
      <w:lvlJc w:val="left"/>
      <w:pPr>
        <w:ind w:left="5573" w:hanging="282"/>
      </w:pPr>
      <w:rPr>
        <w:rFonts w:hint="default"/>
      </w:rPr>
    </w:lvl>
    <w:lvl w:ilvl="5" w:tplc="037AAF2A">
      <w:start w:val="1"/>
      <w:numFmt w:val="bullet"/>
      <w:lvlText w:val="•"/>
      <w:lvlJc w:val="left"/>
      <w:pPr>
        <w:ind w:left="7117" w:hanging="282"/>
      </w:pPr>
      <w:rPr>
        <w:rFonts w:hint="default"/>
      </w:rPr>
    </w:lvl>
    <w:lvl w:ilvl="6" w:tplc="6E32CBD0">
      <w:start w:val="1"/>
      <w:numFmt w:val="bullet"/>
      <w:lvlText w:val="•"/>
      <w:lvlJc w:val="left"/>
      <w:pPr>
        <w:ind w:left="8662" w:hanging="282"/>
      </w:pPr>
      <w:rPr>
        <w:rFonts w:hint="default"/>
      </w:rPr>
    </w:lvl>
    <w:lvl w:ilvl="7" w:tplc="887211D2">
      <w:start w:val="1"/>
      <w:numFmt w:val="bullet"/>
      <w:lvlText w:val="•"/>
      <w:lvlJc w:val="left"/>
      <w:pPr>
        <w:ind w:left="10206" w:hanging="282"/>
      </w:pPr>
      <w:rPr>
        <w:rFonts w:hint="default"/>
      </w:rPr>
    </w:lvl>
    <w:lvl w:ilvl="8" w:tplc="1E1A3AE8">
      <w:start w:val="1"/>
      <w:numFmt w:val="bullet"/>
      <w:lvlText w:val="•"/>
      <w:lvlJc w:val="left"/>
      <w:pPr>
        <w:ind w:left="11751" w:hanging="282"/>
      </w:pPr>
      <w:rPr>
        <w:rFonts w:hint="default"/>
      </w:rPr>
    </w:lvl>
  </w:abstractNum>
  <w:abstractNum w:abstractNumId="4" w15:restartNumberingAfterBreak="0">
    <w:nsid w:val="20B16BAB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5" w15:restartNumberingAfterBreak="0">
    <w:nsid w:val="2A1F31BA"/>
    <w:multiLevelType w:val="hybridMultilevel"/>
    <w:tmpl w:val="E856AC54"/>
    <w:lvl w:ilvl="0" w:tplc="8604E7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F62AF0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83F4CEF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0AB643E0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D8ACCC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413AD05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B8E64D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37B814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E1FAC53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6" w15:restartNumberingAfterBreak="0">
    <w:nsid w:val="2AD31EA2"/>
    <w:multiLevelType w:val="hybridMultilevel"/>
    <w:tmpl w:val="D0EEC0EE"/>
    <w:lvl w:ilvl="0" w:tplc="02FCE08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D2BB6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E28D0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646F84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B1DE0EE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2CA916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EA4B8B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7AC699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22A33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7" w15:restartNumberingAfterBreak="0">
    <w:nsid w:val="2B50533E"/>
    <w:multiLevelType w:val="hybridMultilevel"/>
    <w:tmpl w:val="85602646"/>
    <w:lvl w:ilvl="0" w:tplc="8E70FBA0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A0E99A">
      <w:start w:val="1"/>
      <w:numFmt w:val="bullet"/>
      <w:lvlText w:val="•"/>
      <w:lvlJc w:val="left"/>
      <w:pPr>
        <w:ind w:left="1218" w:hanging="328"/>
      </w:pPr>
      <w:rPr>
        <w:rFonts w:hint="default"/>
      </w:rPr>
    </w:lvl>
    <w:lvl w:ilvl="2" w:tplc="561E17E0">
      <w:start w:val="1"/>
      <w:numFmt w:val="bullet"/>
      <w:lvlText w:val="•"/>
      <w:lvlJc w:val="left"/>
      <w:pPr>
        <w:ind w:left="1996" w:hanging="328"/>
      </w:pPr>
      <w:rPr>
        <w:rFonts w:hint="default"/>
      </w:rPr>
    </w:lvl>
    <w:lvl w:ilvl="3" w:tplc="5A46BE7E">
      <w:start w:val="1"/>
      <w:numFmt w:val="bullet"/>
      <w:lvlText w:val="•"/>
      <w:lvlJc w:val="left"/>
      <w:pPr>
        <w:ind w:left="2775" w:hanging="328"/>
      </w:pPr>
      <w:rPr>
        <w:rFonts w:hint="default"/>
      </w:rPr>
    </w:lvl>
    <w:lvl w:ilvl="4" w:tplc="9E9A013E">
      <w:start w:val="1"/>
      <w:numFmt w:val="bullet"/>
      <w:lvlText w:val="•"/>
      <w:lvlJc w:val="left"/>
      <w:pPr>
        <w:ind w:left="3553" w:hanging="328"/>
      </w:pPr>
      <w:rPr>
        <w:rFonts w:hint="default"/>
      </w:rPr>
    </w:lvl>
    <w:lvl w:ilvl="5" w:tplc="FF1A388E">
      <w:start w:val="1"/>
      <w:numFmt w:val="bullet"/>
      <w:lvlText w:val="•"/>
      <w:lvlJc w:val="left"/>
      <w:pPr>
        <w:ind w:left="4331" w:hanging="328"/>
      </w:pPr>
      <w:rPr>
        <w:rFonts w:hint="default"/>
      </w:rPr>
    </w:lvl>
    <w:lvl w:ilvl="6" w:tplc="03F89D6A">
      <w:start w:val="1"/>
      <w:numFmt w:val="bullet"/>
      <w:lvlText w:val="•"/>
      <w:lvlJc w:val="left"/>
      <w:pPr>
        <w:ind w:left="5110" w:hanging="328"/>
      </w:pPr>
      <w:rPr>
        <w:rFonts w:hint="default"/>
      </w:rPr>
    </w:lvl>
    <w:lvl w:ilvl="7" w:tplc="6B02AFE4">
      <w:start w:val="1"/>
      <w:numFmt w:val="bullet"/>
      <w:lvlText w:val="•"/>
      <w:lvlJc w:val="left"/>
      <w:pPr>
        <w:ind w:left="5888" w:hanging="328"/>
      </w:pPr>
      <w:rPr>
        <w:rFonts w:hint="default"/>
      </w:rPr>
    </w:lvl>
    <w:lvl w:ilvl="8" w:tplc="3E64F53A">
      <w:start w:val="1"/>
      <w:numFmt w:val="bullet"/>
      <w:lvlText w:val="•"/>
      <w:lvlJc w:val="left"/>
      <w:pPr>
        <w:ind w:left="6666" w:hanging="328"/>
      </w:pPr>
      <w:rPr>
        <w:rFonts w:hint="default"/>
      </w:rPr>
    </w:lvl>
  </w:abstractNum>
  <w:abstractNum w:abstractNumId="8" w15:restartNumberingAfterBreak="0">
    <w:nsid w:val="3012620C"/>
    <w:multiLevelType w:val="hybridMultilevel"/>
    <w:tmpl w:val="600C1FF0"/>
    <w:lvl w:ilvl="0" w:tplc="9AB0FF16">
      <w:start w:val="1"/>
      <w:numFmt w:val="lowerLetter"/>
      <w:lvlText w:val="%1)"/>
      <w:lvlJc w:val="left"/>
      <w:pPr>
        <w:ind w:left="103" w:hanging="365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B5E1F4A">
      <w:start w:val="1"/>
      <w:numFmt w:val="bullet"/>
      <w:lvlText w:val="•"/>
      <w:lvlJc w:val="left"/>
      <w:pPr>
        <w:ind w:left="912" w:hanging="365"/>
      </w:pPr>
      <w:rPr>
        <w:rFonts w:hint="default"/>
      </w:rPr>
    </w:lvl>
    <w:lvl w:ilvl="2" w:tplc="D0AABC9C">
      <w:start w:val="1"/>
      <w:numFmt w:val="bullet"/>
      <w:lvlText w:val="•"/>
      <w:lvlJc w:val="left"/>
      <w:pPr>
        <w:ind w:left="1724" w:hanging="365"/>
      </w:pPr>
      <w:rPr>
        <w:rFonts w:hint="default"/>
      </w:rPr>
    </w:lvl>
    <w:lvl w:ilvl="3" w:tplc="2910D468">
      <w:start w:val="1"/>
      <w:numFmt w:val="bullet"/>
      <w:lvlText w:val="•"/>
      <w:lvlJc w:val="left"/>
      <w:pPr>
        <w:ind w:left="2537" w:hanging="365"/>
      </w:pPr>
      <w:rPr>
        <w:rFonts w:hint="default"/>
      </w:rPr>
    </w:lvl>
    <w:lvl w:ilvl="4" w:tplc="35E4F6C8">
      <w:start w:val="1"/>
      <w:numFmt w:val="bullet"/>
      <w:lvlText w:val="•"/>
      <w:lvlJc w:val="left"/>
      <w:pPr>
        <w:ind w:left="3349" w:hanging="365"/>
      </w:pPr>
      <w:rPr>
        <w:rFonts w:hint="default"/>
      </w:rPr>
    </w:lvl>
    <w:lvl w:ilvl="5" w:tplc="0076F638">
      <w:start w:val="1"/>
      <w:numFmt w:val="bullet"/>
      <w:lvlText w:val="•"/>
      <w:lvlJc w:val="left"/>
      <w:pPr>
        <w:ind w:left="4161" w:hanging="365"/>
      </w:pPr>
      <w:rPr>
        <w:rFonts w:hint="default"/>
      </w:rPr>
    </w:lvl>
    <w:lvl w:ilvl="6" w:tplc="4D88C64A">
      <w:start w:val="1"/>
      <w:numFmt w:val="bullet"/>
      <w:lvlText w:val="•"/>
      <w:lvlJc w:val="left"/>
      <w:pPr>
        <w:ind w:left="4974" w:hanging="365"/>
      </w:pPr>
      <w:rPr>
        <w:rFonts w:hint="default"/>
      </w:rPr>
    </w:lvl>
    <w:lvl w:ilvl="7" w:tplc="9C587F12">
      <w:start w:val="1"/>
      <w:numFmt w:val="bullet"/>
      <w:lvlText w:val="•"/>
      <w:lvlJc w:val="left"/>
      <w:pPr>
        <w:ind w:left="5786" w:hanging="365"/>
      </w:pPr>
      <w:rPr>
        <w:rFonts w:hint="default"/>
      </w:rPr>
    </w:lvl>
    <w:lvl w:ilvl="8" w:tplc="66542644">
      <w:start w:val="1"/>
      <w:numFmt w:val="bullet"/>
      <w:lvlText w:val="•"/>
      <w:lvlJc w:val="left"/>
      <w:pPr>
        <w:ind w:left="6598" w:hanging="365"/>
      </w:pPr>
      <w:rPr>
        <w:rFonts w:hint="default"/>
      </w:rPr>
    </w:lvl>
  </w:abstractNum>
  <w:abstractNum w:abstractNumId="9" w15:restartNumberingAfterBreak="0">
    <w:nsid w:val="34944E48"/>
    <w:multiLevelType w:val="hybridMultilevel"/>
    <w:tmpl w:val="C9D8F092"/>
    <w:lvl w:ilvl="0" w:tplc="B0C04FD4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E66EA28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CE6E006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56A014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050E52B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F002355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2E5AE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00E88A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46CA07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" w15:restartNumberingAfterBreak="0">
    <w:nsid w:val="37074EA7"/>
    <w:multiLevelType w:val="hybridMultilevel"/>
    <w:tmpl w:val="50809F0A"/>
    <w:lvl w:ilvl="0" w:tplc="AA02A6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4E3FC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DF3A716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0669EA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ADE6CCB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F422954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E07A67FC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8AE2609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A7B2FBD2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1" w15:restartNumberingAfterBreak="0">
    <w:nsid w:val="39570A29"/>
    <w:multiLevelType w:val="hybridMultilevel"/>
    <w:tmpl w:val="E5D01C0C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47CA38C">
      <w:start w:val="2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2" w15:restartNumberingAfterBreak="0">
    <w:nsid w:val="40FE10ED"/>
    <w:multiLevelType w:val="hybridMultilevel"/>
    <w:tmpl w:val="103A0864"/>
    <w:lvl w:ilvl="0" w:tplc="4684B2EA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C068408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5A59CA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336C0D4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24A8E0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9F420F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DCA30A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384868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6B0841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3" w15:restartNumberingAfterBreak="0">
    <w:nsid w:val="53A7007F"/>
    <w:multiLevelType w:val="hybridMultilevel"/>
    <w:tmpl w:val="4D14745A"/>
    <w:lvl w:ilvl="0" w:tplc="FDE03B8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5E79C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FFE938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CF65E10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07AEE16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F6966E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74FA3CDE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F1A3888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0A21516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4" w15:restartNumberingAfterBreak="0">
    <w:nsid w:val="5A262C71"/>
    <w:multiLevelType w:val="hybridMultilevel"/>
    <w:tmpl w:val="734A480A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823" w:hanging="360"/>
      </w:pPr>
      <w:rPr>
        <w:rFonts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5" w15:restartNumberingAfterBreak="0">
    <w:nsid w:val="616C3D09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768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544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932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320" w:hanging="360"/>
      </w:pPr>
      <w:rPr>
        <w:rFonts w:hint="default"/>
      </w:rPr>
    </w:lvl>
  </w:abstractNum>
  <w:abstractNum w:abstractNumId="16" w15:restartNumberingAfterBreak="0">
    <w:nsid w:val="65083D63"/>
    <w:multiLevelType w:val="hybridMultilevel"/>
    <w:tmpl w:val="7456A1C4"/>
    <w:lvl w:ilvl="0" w:tplc="76E6E458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8CB2F8B4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ABE04F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25627416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F5487D00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ED022782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F6D25EA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35AEA7D8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B4FA50EE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17" w15:restartNumberingAfterBreak="0">
    <w:nsid w:val="65B637C2"/>
    <w:multiLevelType w:val="hybridMultilevel"/>
    <w:tmpl w:val="BC9A0490"/>
    <w:lvl w:ilvl="0" w:tplc="4DC6081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D166B6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7A815C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E5545D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B8488F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8C32E52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D4E09C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12E09B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3A9E36A8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8" w15:restartNumberingAfterBreak="0">
    <w:nsid w:val="6C9A2423"/>
    <w:multiLevelType w:val="hybridMultilevel"/>
    <w:tmpl w:val="09FC7502"/>
    <w:lvl w:ilvl="0" w:tplc="59E2CE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961252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32C358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91B41D56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D2A93B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B848FF0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508C6DB2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BF8866F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BEEE404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9" w15:restartNumberingAfterBreak="0">
    <w:nsid w:val="7F1D5506"/>
    <w:multiLevelType w:val="hybridMultilevel"/>
    <w:tmpl w:val="1FEAD690"/>
    <w:lvl w:ilvl="0" w:tplc="065E7F2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AF6973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2C2CC1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376B250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349CA568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6B89FC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6B463D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ABE327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05A4DB8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8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17"/>
  </w:num>
  <w:num w:numId="12">
    <w:abstractNumId w:val="6"/>
  </w:num>
  <w:num w:numId="13">
    <w:abstractNumId w:val="12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BF"/>
    <w:rsid w:val="00074BAB"/>
    <w:rsid w:val="000C4B12"/>
    <w:rsid w:val="002E7BFC"/>
    <w:rsid w:val="00681862"/>
    <w:rsid w:val="007C3FC4"/>
    <w:rsid w:val="009030C8"/>
    <w:rsid w:val="00A40F29"/>
    <w:rsid w:val="00A92B2B"/>
    <w:rsid w:val="00BD6E41"/>
    <w:rsid w:val="00C203BF"/>
    <w:rsid w:val="00E1048C"/>
    <w:rsid w:val="00E43AD0"/>
    <w:rsid w:val="00E447FC"/>
    <w:rsid w:val="00F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D2E4-4109-4AA1-94D9-86F3071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3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203B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C203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2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203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1"/>
    <w:locked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203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203BF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C203BF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C203BF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2541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6</cp:revision>
  <dcterms:created xsi:type="dcterms:W3CDTF">2016-05-11T08:29:00Z</dcterms:created>
  <dcterms:modified xsi:type="dcterms:W3CDTF">2016-05-16T10:34:00Z</dcterms:modified>
</cp:coreProperties>
</file>