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8" w:rsidRPr="00E43AD0" w:rsidRDefault="00A140E8" w:rsidP="00A140E8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na </w:t>
      </w:r>
      <w:r w:rsidRPr="00A140E8">
        <w:rPr>
          <w:rStyle w:val="FontStyle33"/>
          <w:rFonts w:ascii="Arial Narrow" w:hAnsi="Arial Narrow"/>
          <w:sz w:val="28"/>
          <w:szCs w:val="28"/>
        </w:rPr>
        <w:t>infrastrukturę sportową i wielofunkcyjną infrastrukturę rekreacyjną</w:t>
      </w:r>
    </w:p>
    <w:p w:rsidR="00A140E8" w:rsidRPr="00FE6953" w:rsidRDefault="00A140E8" w:rsidP="00A140E8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A140E8" w:rsidRPr="00074BAB" w:rsidRDefault="00A140E8" w:rsidP="00A140E8">
      <w:pPr>
        <w:jc w:val="center"/>
        <w:rPr>
          <w:rFonts w:ascii="Arial Narrow" w:hAnsi="Arial Narrow"/>
          <w:b/>
          <w:i/>
          <w:color w:val="FF0000"/>
        </w:rPr>
      </w:pPr>
      <w:r w:rsidRPr="00074BAB">
        <w:rPr>
          <w:rFonts w:ascii="Arial Narrow" w:hAnsi="Arial Narrow"/>
          <w:b/>
          <w:i/>
          <w:color w:val="FF0000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A140E8" w:rsidRPr="00A140E8" w:rsidRDefault="00A140E8" w:rsidP="00A140E8">
      <w:pPr>
        <w:keepNext/>
        <w:keepLines/>
        <w:spacing w:before="72"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6"/>
          <w:szCs w:val="26"/>
          <w:u w:val="single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color w:val="365F91"/>
          <w:sz w:val="26"/>
          <w:szCs w:val="26"/>
          <w:u w:val="single"/>
          <w:lang w:eastAsia="pl-PL"/>
        </w:rPr>
        <w:t>Ogólne rozporządzenie w sprawie wyłączeń blokowych (rozporządzenie 651/2014) - dokument roboczy Pomoc na infrastrukturę sportową i wielofunkcyjną infrastrukturę rekreacyjną</w:t>
      </w:r>
    </w:p>
    <w:p w:rsidR="00A140E8" w:rsidRPr="00A140E8" w:rsidRDefault="00A140E8" w:rsidP="00A140E8">
      <w:pPr>
        <w:spacing w:after="0" w:line="240" w:lineRule="auto"/>
        <w:ind w:left="837" w:right="6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0E8">
        <w:rPr>
          <w:rFonts w:ascii="Times New Roman" w:eastAsia="Times New Roman" w:hAnsi="Times New Roman" w:cs="Times New Roman"/>
          <w:sz w:val="20"/>
          <w:szCs w:val="20"/>
          <w:lang w:eastAsia="pl-PL"/>
        </w:rPr>
        <w:t>Najpierw należy sprawdzić ogólne warunki stosowania ogólnego rozporządzenia w sprawie wyłączeń blokowych (12 warunków, art. 1-12), a następnie warunki dotyczące pomocy na infrastrukturę sportową i wielofunkcyjną infrastrukturę rekreacyjną.</w:t>
      </w:r>
    </w:p>
    <w:p w:rsidR="00A140E8" w:rsidRPr="00A140E8" w:rsidRDefault="00A140E8" w:rsidP="00A140E8">
      <w:pPr>
        <w:widowControl w:val="0"/>
        <w:tabs>
          <w:tab w:val="left" w:pos="6474"/>
        </w:tabs>
        <w:spacing w:before="1"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365F91"/>
          <w:sz w:val="24"/>
          <w:szCs w:val="26"/>
          <w:lang w:eastAsia="pl-PL"/>
        </w:rPr>
      </w:pPr>
      <w:r w:rsidRPr="00A140E8">
        <w:rPr>
          <w:rFonts w:ascii="Times New Roman" w:eastAsia="Times New Roman" w:hAnsi="Times New Roman" w:cs="Times New Roman"/>
          <w:color w:val="365F91"/>
          <w:sz w:val="24"/>
          <w:szCs w:val="24"/>
          <w:u w:val="thick"/>
          <w:lang w:eastAsia="pl-PL"/>
        </w:rPr>
        <w:t>A. Ogólne warunki</w:t>
      </w:r>
      <w:r w:rsidRPr="00A140E8">
        <w:rPr>
          <w:rFonts w:ascii="Times New Roman" w:eastAsia="Times New Roman" w:hAnsi="Times New Roman" w:cs="Times New Roman"/>
          <w:color w:val="365F91"/>
          <w:spacing w:val="-12"/>
          <w:sz w:val="24"/>
          <w:szCs w:val="24"/>
          <w:u w:val="thick"/>
          <w:lang w:eastAsia="pl-PL"/>
        </w:rPr>
        <w:t xml:space="preserve"> </w:t>
      </w:r>
      <w:r w:rsidRPr="00A140E8">
        <w:rPr>
          <w:rFonts w:ascii="Times New Roman" w:eastAsia="Times New Roman" w:hAnsi="Times New Roman" w:cs="Times New Roman"/>
          <w:color w:val="365F91"/>
          <w:sz w:val="24"/>
          <w:szCs w:val="24"/>
          <w:u w:val="thick"/>
          <w:lang w:eastAsia="pl-PL"/>
        </w:rPr>
        <w:t>stosowania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9"/>
        <w:gridCol w:w="5117"/>
      </w:tblGrid>
      <w:tr w:rsidR="00A140E8" w:rsidRPr="00A140E8" w:rsidTr="00A140E8">
        <w:trPr>
          <w:trHeight w:hRule="exact" w:val="258"/>
        </w:trPr>
        <w:tc>
          <w:tcPr>
            <w:tcW w:w="9239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2191" w:right="3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O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GÓLNE WARUNKI ZGODNOŚCI</w:t>
            </w:r>
          </w:p>
        </w:tc>
        <w:tc>
          <w:tcPr>
            <w:tcW w:w="5117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1749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K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ONTROLA ZGODNOŚCI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(OK?)</w:t>
            </w:r>
          </w:p>
        </w:tc>
      </w:tr>
      <w:tr w:rsidR="00A140E8" w:rsidRPr="00A140E8" w:rsidTr="00A140E8">
        <w:trPr>
          <w:trHeight w:hRule="exact" w:val="268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before="3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niektórych obszarów (ust. 2)</w:t>
            </w:r>
          </w:p>
        </w:tc>
        <w:tc>
          <w:tcPr>
            <w:tcW w:w="5117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1054"/>
        </w:trPr>
        <w:tc>
          <w:tcPr>
            <w:tcW w:w="9239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u w:val="thick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</w:rPr>
              <w:t>ma zastosowania do:</w:t>
            </w:r>
          </w:p>
          <w:p w:rsidR="00A140E8" w:rsidRPr="00A140E8" w:rsidRDefault="00A140E8" w:rsidP="00A140E8">
            <w:pPr>
              <w:numPr>
                <w:ilvl w:val="0"/>
                <w:numId w:val="25"/>
              </w:numPr>
              <w:tabs>
                <w:tab w:val="left" w:pos="431"/>
              </w:tabs>
              <w:spacing w:line="269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przyznawanej na działalność związaną z</w:t>
            </w:r>
            <w:r w:rsidRPr="00A140E8">
              <w:rPr>
                <w:rFonts w:ascii="Times New Roman" w:eastAsia="Times New Roman" w:hAnsi="Times New Roman" w:cs="Times New Roman"/>
                <w:spacing w:val="-3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wywozem;</w:t>
            </w:r>
          </w:p>
          <w:p w:rsidR="00A140E8" w:rsidRPr="00A140E8" w:rsidRDefault="00A140E8" w:rsidP="00A140E8">
            <w:pPr>
              <w:numPr>
                <w:ilvl w:val="0"/>
                <w:numId w:val="25"/>
              </w:numPr>
              <w:tabs>
                <w:tab w:val="left" w:pos="431"/>
              </w:tabs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uwarunkowanej pierwszeństwem użycia towarów produkcji krajowej w stosunku do towarów sprowadzanych z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zagranicy.</w:t>
            </w:r>
          </w:p>
        </w:tc>
        <w:tc>
          <w:tcPr>
            <w:tcW w:w="5117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niektórych sektorów (ust. 3)</w:t>
            </w:r>
          </w:p>
        </w:tc>
        <w:tc>
          <w:tcPr>
            <w:tcW w:w="5117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160"/>
        </w:trPr>
        <w:tc>
          <w:tcPr>
            <w:tcW w:w="9239" w:type="dxa"/>
          </w:tcPr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spacing w:line="266" w:lineRule="exact"/>
              <w:rPr>
                <w:rFonts w:ascii="Symbol" w:eastAsia="Times New Roman" w:hAnsi="Symbol" w:cs="Times New Roman"/>
                <w:color w:val="FF0000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sektora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rybołówstwa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akwakultury*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(podobnie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jak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rozporządzeniu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1379/2013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)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spacing w:line="269" w:lineRule="exact"/>
              <w:rPr>
                <w:rFonts w:ascii="Symbol" w:eastAsia="Times New Roman" w:hAnsi="Symbol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sektora produkcji podstawowej produktów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rolnych*;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ind w:right="98"/>
              <w:jc w:val="both"/>
              <w:rPr>
                <w:rFonts w:ascii="Symbol" w:eastAsia="Times New Roman" w:hAnsi="Symbol" w:cs="Times New Roman"/>
                <w:color w:val="FF0000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przetwórstwa i wprowadzania do obrotu produktów rolnych*, 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spacing w:val="-1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surowców;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ind w:right="99"/>
              <w:jc w:val="both"/>
              <w:rPr>
                <w:rFonts w:ascii="Symbol" w:eastAsia="Times New Roman" w:hAnsi="Symbol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państwa ułatwiającej zamykanie niekonkurencyjnych kopalń węgla (decyzja Rady nr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2010/787)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.</w:t>
            </w:r>
          </w:p>
          <w:p w:rsidR="00A140E8" w:rsidRPr="00A140E8" w:rsidRDefault="00A140E8" w:rsidP="00A140E8">
            <w:pPr>
              <w:ind w:left="430" w:right="98"/>
              <w:jc w:val="both"/>
              <w:rPr>
                <w:rFonts w:ascii="Times New Roman" w:eastAsia="Times New Roman" w:hAnsi="Times New Roman" w:cs="Times New Roman"/>
                <w:i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*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 z</w:t>
            </w:r>
            <w:r w:rsidRPr="00A140E8">
              <w:rPr>
                <w:rFonts w:ascii="Times New Roman" w:eastAsia="Times New Roman" w:hAnsi="Times New Roman" w:cs="Times New Roman"/>
                <w:i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pomocy.</w:t>
            </w:r>
          </w:p>
        </w:tc>
        <w:tc>
          <w:tcPr>
            <w:tcW w:w="5117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516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5117" w:type="dxa"/>
            <w:vMerge w:val="restart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4"/>
        </w:trPr>
        <w:tc>
          <w:tcPr>
            <w:tcW w:w="9239" w:type="dxa"/>
            <w:tcBorders>
              <w:bottom w:val="single" w:sz="8" w:space="0" w:color="000000"/>
            </w:tcBorders>
          </w:tcPr>
          <w:p w:rsidR="00A140E8" w:rsidRPr="00A140E8" w:rsidRDefault="00A140E8" w:rsidP="00675FB2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programów pomocy, które nie wykluczają wyraźnie możliwości</w:t>
            </w:r>
            <w:r w:rsidR="00675FB2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675FB2" w:rsidRPr="00A140E8">
              <w:rPr>
                <w:rFonts w:ascii="Times New Roman" w:eastAsia="Times New Roman" w:hAnsi="Times New Roman" w:cs="Times New Roman"/>
                <w:lang w:val="pl-PL"/>
              </w:rPr>
              <w:t>wypłacenia</w:t>
            </w:r>
          </w:p>
        </w:tc>
        <w:tc>
          <w:tcPr>
            <w:tcW w:w="5117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140E8" w:rsidRPr="00A140E8" w:rsidRDefault="00A140E8" w:rsidP="00A140E8">
      <w:pPr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 w:rsidSect="001C5A26">
          <w:headerReference w:type="default" r:id="rId8"/>
          <w:pgSz w:w="15840" w:h="12240" w:orient="landscape"/>
          <w:pgMar w:top="1135" w:right="420" w:bottom="280" w:left="580" w:header="0" w:footer="0" w:gutter="0"/>
          <w:cols w:space="708"/>
          <w:docGrid w:linePitch="326"/>
        </w:sectPr>
      </w:pPr>
    </w:p>
    <w:tbl>
      <w:tblPr>
        <w:tblStyle w:val="TableNormal"/>
        <w:tblpPr w:leftFromText="141" w:rightFromText="141" w:vertAnchor="text" w:horzAnchor="margin" w:tblpY="-1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5103"/>
      </w:tblGrid>
      <w:tr w:rsidR="00A140E8" w:rsidRPr="00A140E8" w:rsidTr="00A140E8">
        <w:trPr>
          <w:trHeight w:hRule="exact" w:val="862"/>
        </w:trPr>
        <w:tc>
          <w:tcPr>
            <w:tcW w:w="9351" w:type="dxa"/>
          </w:tcPr>
          <w:p w:rsidR="00A140E8" w:rsidRPr="00A140E8" w:rsidRDefault="00A140E8" w:rsidP="00A140E8">
            <w:pPr>
              <w:ind w:left="103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pomocy indywidualnej na rzecz przedsiębiorstwa, na którym ciąży obowiązek zwrotu pomocy wynikający z wcześniejszej decyzji Komisji uznającej pomoc za niezgodną z prawem/z rynkiem wewnętrznym, i </w:t>
            </w:r>
            <w:r w:rsidRPr="00A140E8">
              <w:rPr>
                <w:rFonts w:ascii="Times New Roman" w:eastAsia="Times New Roman" w:hAnsi="Times New Roman" w:cs="Times New Roman"/>
                <w:b/>
                <w:u w:val="thick"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ma zastosowania do pomocy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ad hoc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dla takiego</w:t>
            </w:r>
            <w:r w:rsidRPr="00A140E8">
              <w:rPr>
                <w:rFonts w:ascii="Times New Roman" w:eastAsia="Times New Roman" w:hAnsi="Times New Roman" w:cs="Times New Roman"/>
                <w:spacing w:val="-1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przedsiębiorstwa.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4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103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u w:val="thick"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przedsiębiorstw znajdujących się w trudnej sytuacji.</w:t>
            </w:r>
          </w:p>
        </w:tc>
        <w:tc>
          <w:tcPr>
            <w:tcW w:w="5103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5103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58"/>
        </w:trPr>
        <w:tc>
          <w:tcPr>
            <w:tcW w:w="9351" w:type="dxa"/>
          </w:tcPr>
          <w:p w:rsidR="00A140E8" w:rsidRPr="00A140E8" w:rsidRDefault="00A140E8" w:rsidP="00A140E8">
            <w:pPr>
              <w:ind w:left="103" w:right="6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środków pomocy państwa, które nierozerwalnie wiążą się z naruszeniem prawa Unii, w szczególności:</w:t>
            </w:r>
          </w:p>
          <w:p w:rsid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675FB2">
              <w:rPr>
                <w:rFonts w:ascii="Times New Roman" w:eastAsia="Times New Roman" w:hAnsi="Times New Roman" w:cs="Times New Roman"/>
                <w:lang w:val="pl-PL"/>
              </w:rPr>
              <w:t>jeżeli przyznanie pomocy uwarunkowane jest obowiązkiem posiadania przez beneficjenta siedziby w danym państwie członkowskim lub prowadzeniem przez niego działalności w przeważającej mierze w danym państwie członkowskim. Dozwolony jest wymóg posiadania w momencie wypłaty pomocy zakładu lub oddziału w państwie członkowskim przyznającym</w:t>
            </w:r>
            <w:r w:rsidRPr="00675FB2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675FB2">
              <w:rPr>
                <w:rFonts w:ascii="Times New Roman" w:eastAsia="Times New Roman" w:hAnsi="Times New Roman" w:cs="Times New Roman"/>
                <w:lang w:val="pl-PL"/>
              </w:rPr>
              <w:t>pomoc;</w:t>
            </w:r>
          </w:p>
          <w:p w:rsid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427789">
              <w:rPr>
                <w:rFonts w:ascii="Times New Roman" w:eastAsia="Times New Roman" w:hAnsi="Times New Roman" w:cs="Times New Roman"/>
                <w:lang w:val="pl-PL"/>
              </w:rPr>
              <w:t>jeśli przyznanie pomocy uwarunkowane jest obowiązkiem korzystania z towarów produkcji krajowej lub usług</w:t>
            </w:r>
            <w:r w:rsidRPr="00427789">
              <w:rPr>
                <w:rFonts w:ascii="Times New Roman" w:eastAsia="Times New Roman" w:hAnsi="Times New Roman" w:cs="Times New Roman"/>
                <w:spacing w:val="-18"/>
                <w:lang w:val="pl-PL"/>
              </w:rPr>
              <w:t xml:space="preserve"> </w:t>
            </w:r>
            <w:r w:rsidRPr="00427789">
              <w:rPr>
                <w:rFonts w:ascii="Times New Roman" w:eastAsia="Times New Roman" w:hAnsi="Times New Roman" w:cs="Times New Roman"/>
                <w:lang w:val="pl-PL"/>
              </w:rPr>
              <w:t>krajowych;</w:t>
            </w:r>
          </w:p>
          <w:p w:rsidR="00A140E8" w:rsidRP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427789">
              <w:rPr>
                <w:rFonts w:ascii="Times New Roman" w:eastAsia="Times New Roman" w:hAnsi="Times New Roman" w:cs="Times New Roman"/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427789">
              <w:rPr>
                <w:rFonts w:ascii="Times New Roman" w:eastAsia="Times New Roman" w:hAnsi="Times New Roman" w:cs="Times New Roman"/>
                <w:spacing w:val="-13"/>
                <w:lang w:val="pl-PL"/>
              </w:rPr>
              <w:t xml:space="preserve"> </w:t>
            </w:r>
            <w:r w:rsidRPr="00427789">
              <w:rPr>
                <w:rFonts w:ascii="Times New Roman" w:eastAsia="Times New Roman" w:hAnsi="Times New Roman" w:cs="Times New Roman"/>
                <w:lang w:val="pl-PL"/>
              </w:rPr>
              <w:t>członkowskich.</w:t>
            </w:r>
          </w:p>
        </w:tc>
        <w:tc>
          <w:tcPr>
            <w:tcW w:w="5103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103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142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pomocy przekraczającej następujące progi:</w:t>
            </w:r>
          </w:p>
          <w:p w:rsidR="00A140E8" w:rsidRPr="00A140E8" w:rsidRDefault="00A140E8" w:rsidP="00A140E8">
            <w:pPr>
              <w:numPr>
                <w:ilvl w:val="0"/>
                <w:numId w:val="22"/>
              </w:numPr>
              <w:tabs>
                <w:tab w:val="left" w:pos="464"/>
              </w:tabs>
              <w:ind w:right="9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inwestycyjna na infrastrukturę sportową i wielofunkcyjną: 15 mln EUR lub jeżeli łączne koszty przekraczają 50 mln EUR na projekt; pomoc operacyjna na infrastrukturę sportową: 2 mln EUR na infrastrukturę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rocznie.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3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5 - Przejrzystość pomocy</w:t>
            </w:r>
          </w:p>
        </w:tc>
        <w:tc>
          <w:tcPr>
            <w:tcW w:w="5103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1055"/>
        </w:trPr>
        <w:tc>
          <w:tcPr>
            <w:tcW w:w="9351" w:type="dx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zastosowanie tylko do pomocy przejrzystej. Za pomoc przejrzystą uznaje się:</w:t>
            </w:r>
          </w:p>
          <w:p w:rsidR="00A140E8" w:rsidRPr="00A140E8" w:rsidRDefault="00A140E8" w:rsidP="00A140E8">
            <w:pPr>
              <w:numPr>
                <w:ilvl w:val="0"/>
                <w:numId w:val="21"/>
              </w:numPr>
              <w:tabs>
                <w:tab w:val="left" w:pos="431"/>
              </w:tabs>
              <w:spacing w:line="269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dotacje oraz dotacje na spłatę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odsetek;</w:t>
            </w:r>
          </w:p>
          <w:p w:rsidR="00A140E8" w:rsidRPr="00A140E8" w:rsidRDefault="00A140E8" w:rsidP="00A140E8">
            <w:pPr>
              <w:numPr>
                <w:ilvl w:val="0"/>
                <w:numId w:val="21"/>
              </w:numPr>
              <w:tabs>
                <w:tab w:val="left" w:pos="431"/>
              </w:tabs>
              <w:ind w:right="102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pożyczki (gdzie ekwiwalent dotacji brutto oblicza się na podstawie stopy referencyjnej obowiązującej w dniu przyznania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pomocy);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9"/>
        <w:gridCol w:w="4961"/>
      </w:tblGrid>
      <w:tr w:rsidR="00A140E8" w:rsidRPr="00A140E8" w:rsidTr="00A140E8">
        <w:trPr>
          <w:trHeight w:hRule="exact" w:val="3599"/>
        </w:trPr>
        <w:tc>
          <w:tcPr>
            <w:tcW w:w="9239" w:type="dxa"/>
          </w:tcPr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spacing w:line="266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lastRenderedPageBreak/>
              <w:t>gwarancje</w:t>
            </w:r>
          </w:p>
          <w:p w:rsidR="00A140E8" w:rsidRPr="00A140E8" w:rsidRDefault="00A140E8" w:rsidP="00A140E8">
            <w:pPr>
              <w:ind w:left="430"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(ekwiwalent dotacji brutto obliczony na podstawie bezpiecznych stawek określonych w obwieszczeniu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Komisji</w:t>
            </w:r>
          </w:p>
          <w:p w:rsidR="00A140E8" w:rsidRPr="00A140E8" w:rsidRDefault="00A140E8" w:rsidP="00A140E8">
            <w:pPr>
              <w:ind w:left="148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</w:p>
          <w:p w:rsidR="00A140E8" w:rsidRPr="00A140E8" w:rsidRDefault="00A140E8" w:rsidP="00A140E8">
            <w:pPr>
              <w:ind w:left="430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korzyści podatkowe (gdzie przewidziano pułap zapobiegający przekroczeniu obowiązującego</w:t>
            </w:r>
            <w:r w:rsidRPr="00A140E8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progu);</w:t>
            </w:r>
          </w:p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ind w:right="9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środka).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6 - Efekt zachęty</w:t>
            </w:r>
          </w:p>
        </w:tc>
        <w:tc>
          <w:tcPr>
            <w:tcW w:w="4961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4198"/>
        </w:trPr>
        <w:tc>
          <w:tcPr>
            <w:tcW w:w="9239" w:type="dxa"/>
          </w:tcPr>
          <w:p w:rsidR="00A140E8" w:rsidRPr="00A140E8" w:rsidRDefault="00A140E8" w:rsidP="00A140E8">
            <w:pPr>
              <w:spacing w:line="251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wywołująca efekt zachęty może być objęta wyłączeniem jedynie wówczas, gdy:</w:t>
            </w:r>
          </w:p>
          <w:p w:rsidR="00A140E8" w:rsidRPr="00A140E8" w:rsidRDefault="00A140E8" w:rsidP="00A140E8">
            <w:pPr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18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Beneficjent złożył do danego państwa członkowskiego wniosek o przyznanie pomocy przed rozpoczęciem prac lub działalności, zawierający co najmniej następujące informacje: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4"/>
              </w:tabs>
              <w:ind w:hanging="3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nazwę przedsiębiorstwa i informację o jego</w:t>
            </w:r>
            <w:r w:rsidRPr="00A140E8">
              <w:rPr>
                <w:rFonts w:ascii="Times New Roman" w:eastAsia="Times New Roman" w:hAnsi="Times New Roman" w:cs="Times New Roman"/>
                <w:spacing w:val="-2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wielkości;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opis projektu, w tym daty jego rozpoczęcia i</w:t>
            </w:r>
            <w:r w:rsidRPr="00A140E8">
              <w:rPr>
                <w:rFonts w:ascii="Times New Roman" w:eastAsia="Times New Roman" w:hAnsi="Times New Roman" w:cs="Times New Roman"/>
                <w:spacing w:val="-3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zakończenia;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lokalizację</w:t>
            </w:r>
            <w:r w:rsidRPr="00A140E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projektu;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wykaz kosztów</w:t>
            </w:r>
            <w:r w:rsidRPr="00A140E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projektu;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ind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projektu.</w:t>
            </w:r>
          </w:p>
          <w:p w:rsidR="00A140E8" w:rsidRPr="00A140E8" w:rsidRDefault="00A140E8" w:rsidP="00A140E8">
            <w:pPr>
              <w:numPr>
                <w:ilvl w:val="0"/>
                <w:numId w:val="19"/>
              </w:numPr>
              <w:tabs>
                <w:tab w:val="left" w:pos="463"/>
              </w:tabs>
              <w:ind w:left="462" w:right="101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ad hoc na rzecz dużych przedsiębiorstw: oprócz powyższego, państwo członkowskie przed przyznaniem pomocy sprawdziło, że beneficjent dostarczył dokumentację wykazującą, że pomoc przyniesie jeden lub więcej z poniższych efektów:</w:t>
            </w:r>
          </w:p>
          <w:p w:rsid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zwiększenie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zasięgu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dzięki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środkowi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pomocy,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</w:p>
          <w:p w:rsidR="00A140E8" w:rsidRP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zwiększenie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całkowitej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kwoty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wydanej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przez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beneficjenta</w:t>
            </w:r>
            <w:r w:rsidRPr="00A140E8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 działanie dzięki środkowi pomocy, lub</w:t>
            </w:r>
          </w:p>
          <w:p w:rsidR="00A140E8" w:rsidRP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ind w:hanging="32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 przyspieszenie zakończenia projektu lub</w:t>
            </w:r>
            <w:r w:rsidRPr="00A140E8">
              <w:rPr>
                <w:rFonts w:ascii="Times New Roman" w:eastAsia="Times New Roman" w:hAnsi="Times New Roman" w:cs="Times New Roman"/>
                <w:spacing w:val="-3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działania.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>
          <w:footerReference w:type="default" r:id="rId9"/>
          <w:pgSz w:w="15840" w:h="12240" w:orient="landscape"/>
          <w:pgMar w:top="2200" w:right="420" w:bottom="940" w:left="580" w:header="735" w:footer="756" w:gutter="0"/>
          <w:cols w:space="708"/>
        </w:sectPr>
      </w:pPr>
    </w:p>
    <w:tbl>
      <w:tblPr>
        <w:tblStyle w:val="TableNormal"/>
        <w:tblpPr w:leftFromText="141" w:rightFromText="141" w:horzAnchor="margin" w:tblpY="-9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45"/>
      </w:tblGrid>
      <w:tr w:rsidR="00A140E8" w:rsidRPr="00A140E8" w:rsidTr="00A140E8">
        <w:trPr>
          <w:trHeight w:hRule="exact" w:val="1849"/>
        </w:trPr>
        <w:tc>
          <w:tcPr>
            <w:tcW w:w="9351" w:type="dxa"/>
          </w:tcPr>
          <w:p w:rsidR="00A140E8" w:rsidRPr="00A140E8" w:rsidRDefault="00A140E8" w:rsidP="00A140E8">
            <w:pPr>
              <w:spacing w:before="1" w:line="252" w:lineRule="exact"/>
              <w:ind w:left="499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Wingdings" w:eastAsia="Times New Roman" w:hAnsi="Wingdings" w:cs="Times New Roman"/>
              </w:rPr>
              <w:lastRenderedPageBreak/>
              <w:t></w:t>
            </w:r>
            <w:r w:rsidRPr="00A140E8">
              <w:rPr>
                <w:rFonts w:ascii="Times New Roman" w:eastAsia="Times New Roman" w:hAnsi="Times New Roman" w:cs="Times New Roman"/>
                <w:b/>
              </w:rPr>
              <w:t>Wyjątki</w:t>
            </w:r>
          </w:p>
          <w:p w:rsidR="00A140E8" w:rsidRPr="00A140E8" w:rsidRDefault="00A140E8" w:rsidP="00A140E8">
            <w:pPr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Korzyści podatkowe</w:t>
            </w:r>
            <w:r w:rsidRPr="00A140E8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jeśli:</w:t>
            </w:r>
          </w:p>
          <w:p w:rsidR="00A140E8" w:rsidRPr="00A140E8" w:rsidRDefault="00A140E8" w:rsidP="00A140E8">
            <w:pPr>
              <w:numPr>
                <w:ilvl w:val="1"/>
                <w:numId w:val="17"/>
              </w:numPr>
              <w:tabs>
                <w:tab w:val="left" w:pos="824"/>
              </w:tabs>
              <w:ind w:right="10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środek ustanawia prawo do uzyskania pomocy zgodnie z obiektywnymi  kryteriami i bez dalszej ingerencji ze strony państwa członkowskiego;</w:t>
            </w:r>
            <w:r w:rsidRPr="00A140E8">
              <w:rPr>
                <w:rFonts w:ascii="Times New Roman" w:eastAsia="Times New Roman" w:hAnsi="Times New Roman" w:cs="Times New Roman"/>
                <w:spacing w:val="-3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oraz</w:t>
            </w:r>
          </w:p>
          <w:p w:rsidR="00A140E8" w:rsidRPr="00A140E8" w:rsidRDefault="00A140E8" w:rsidP="00A140E8">
            <w:pPr>
              <w:numPr>
                <w:ilvl w:val="1"/>
                <w:numId w:val="17"/>
              </w:numPr>
              <w:tabs>
                <w:tab w:val="left" w:pos="82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środek został przyjęty i obowiązuje przed przystąpieniem do realizacji projektu  lub działania objętego pomocą, z wyjątkiem kolejnych wersji programów pomocy fiskalnej, jeśli dane działanie było już objęte poprzednimi programami w formie korzyści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podatkowych.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4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7 - Koszty kwalifikowalne</w:t>
            </w:r>
          </w:p>
        </w:tc>
        <w:tc>
          <w:tcPr>
            <w:tcW w:w="4945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447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 celów obliczania intensywności pomocy: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line="269" w:lineRule="exact"/>
              <w:ind w:hanging="3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stosuje się kwoty przed potrąceniem podatku lub innych</w:t>
            </w:r>
            <w:r w:rsidRPr="00A140E8">
              <w:rPr>
                <w:rFonts w:ascii="Times New Roman" w:eastAsia="Times New Roman" w:hAnsi="Times New Roman" w:cs="Times New Roman"/>
                <w:spacing w:val="-3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opłat;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3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przypadku pomocy przyznawanej w formie innej niż dotacja, kwotę pomocy  stanowi ekwiwalent dotacji brutto</w:t>
            </w:r>
            <w:r w:rsidRPr="00A140E8">
              <w:rPr>
                <w:rFonts w:ascii="Times New Roman" w:eastAsia="Times New Roman" w:hAnsi="Times New Roman" w:cs="Times New Roman"/>
                <w:spacing w:val="-2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1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</w:t>
            </w:r>
            <w:r w:rsidRPr="00A140E8">
              <w:rPr>
                <w:rFonts w:ascii="Times New Roman" w:eastAsia="Times New Roman" w:hAnsi="Times New Roman" w:cs="Times New Roman"/>
                <w:spacing w:val="-3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pomocy);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raty pomocy w formie korzyści podatkowych są dyskontowane na podstawie stóp dyskontowych obowiązujących w momencie realizacji korzyści</w:t>
            </w:r>
            <w:r w:rsidRPr="00A140E8">
              <w:rPr>
                <w:rFonts w:ascii="Times New Roman" w:eastAsia="Times New Roman" w:hAnsi="Times New Roman" w:cs="Times New Roman"/>
                <w:spacing w:val="-3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podatkowej;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4"/>
              </w:tabs>
              <w:ind w:left="463" w:right="98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co najmniej równej stopie dyskontowej obowiązującej w momencie przyznania pomocy, to maksymalne poziomy intensywności pomocy można  zwiększyć o 10 punktów</w:t>
            </w:r>
            <w:r w:rsidRPr="00A140E8">
              <w:rPr>
                <w:rFonts w:ascii="Times New Roman" w:eastAsia="Times New Roman" w:hAnsi="Times New Roman" w:cs="Times New Roman"/>
                <w:spacing w:val="-1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procentowych.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Koszty kwalifikowalne i dokumentacja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left="46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koszty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kwalifikowalne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poparte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jasną,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szczegółową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aktualną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dokumentacją.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8 - Kumulacja</w:t>
            </w:r>
          </w:p>
        </w:tc>
        <w:tc>
          <w:tcPr>
            <w:tcW w:w="4945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427789">
        <w:trPr>
          <w:trHeight w:hRule="exact" w:val="843"/>
        </w:trPr>
        <w:tc>
          <w:tcPr>
            <w:tcW w:w="9351" w:type="dxa"/>
          </w:tcPr>
          <w:p w:rsidR="00A140E8" w:rsidRPr="00A140E8" w:rsidRDefault="00A140E8" w:rsidP="00A140E8">
            <w:pPr>
              <w:pStyle w:val="Akapitzlist"/>
              <w:numPr>
                <w:ilvl w:val="0"/>
                <w:numId w:val="27"/>
              </w:numPr>
              <w:spacing w:line="273" w:lineRule="exact"/>
              <w:ind w:left="421" w:right="34" w:hanging="284"/>
              <w:rPr>
                <w:rFonts w:ascii="Times New Roman" w:eastAsia="Times New Roman" w:hAnsi="Times New Roman" w:cs="Times New Roman"/>
                <w:sz w:val="24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W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ab/>
              <w:t>przypadku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progów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wodujących obowiązek zgłoszenia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>m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aksymalnych progów intensywności pomocy uwzględnia się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całkowitą</w:t>
            </w:r>
            <w:r w:rsidRPr="00A140E8">
              <w:rPr>
                <w:rFonts w:ascii="Times New Roman" w:eastAsia="Times New Roman" w:hAnsi="Times New Roman" w:cs="Times New Roman"/>
                <w:b/>
                <w:spacing w:val="5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kwotę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pomocy państwa (ust. 1).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Normal"/>
        <w:tblpPr w:leftFromText="141" w:rightFromText="141" w:vertAnchor="page" w:horzAnchor="margin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61"/>
      </w:tblGrid>
      <w:tr w:rsidR="00A140E8" w:rsidRPr="00A140E8" w:rsidTr="00A140E8">
        <w:trPr>
          <w:trHeight w:hRule="exact" w:val="4976"/>
        </w:trPr>
        <w:tc>
          <w:tcPr>
            <w:tcW w:w="9351" w:type="dxa"/>
          </w:tcPr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right="98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Jeżeli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finansowanie Unii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A140E8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left="463"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Wyłączoną pomoc można kumulować z wszelką inną pomocą państwa, pod warunkiem że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środki te dotyczą różnych, możliwych do wyodrębnienia kosztów kwalifikowalnych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 3 lit.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a)).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3"/>
              </w:tabs>
              <w:ind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Brak możliwości kumulowania wyłączonej pomocy z inną pomocą państwa w odniesieniu do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tych samych kosztów kwalifikowalnych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b)).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de minimis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odniesieniu do tych samych kosztów kwalifikowalnych, jeżeli skutkiem takiej kumulacji byłoby przekroczenie poziomów intensywności pomocy określonych w rozdziale III rozporządzenia (ust.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5).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9 - Publikacja i informacja</w:t>
            </w:r>
          </w:p>
        </w:tc>
        <w:tc>
          <w:tcPr>
            <w:tcW w:w="4961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303"/>
        </w:trPr>
        <w:tc>
          <w:tcPr>
            <w:tcW w:w="9351" w:type="dxa"/>
          </w:tcPr>
          <w:p w:rsidR="00A140E8" w:rsidRPr="00A140E8" w:rsidRDefault="00A140E8" w:rsidP="00A140E8">
            <w:pPr>
              <w:numPr>
                <w:ilvl w:val="0"/>
                <w:numId w:val="13"/>
              </w:numPr>
              <w:tabs>
                <w:tab w:val="left" w:pos="431"/>
              </w:tabs>
              <w:ind w:right="100" w:hanging="32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Publikacja      na      kompleksowej       stronie       internetowej       dotyczącej   pomocy państwa następujących danych na szczeblu krajowym lub regionalnym (ust. 1):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skrócone informacje (zob. art. 11) lub link do</w:t>
            </w:r>
            <w:r w:rsidRPr="00A140E8">
              <w:rPr>
                <w:rFonts w:ascii="Times New Roman" w:eastAsia="Times New Roman" w:hAnsi="Times New Roman" w:cs="Times New Roman"/>
                <w:spacing w:val="-2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nich;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right="101"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pełen tekst poszczególnych środków pomocy (zob. art. 11) lub link zapewniający dostęp do pełnego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tekstu;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right="100"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informacje na temat każdej pomocy indywidualnej przekraczającej 500 000 EUR (zob. załącznik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III).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odniesieniu do pomocy przyznanej na projekty w ramach europejskiej współpracy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terytorialnej,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 w:rsidSect="007848C4">
          <w:pgSz w:w="15840" w:h="12240" w:orient="landscape"/>
          <w:pgMar w:top="2200" w:right="420" w:bottom="940" w:left="580" w:header="735" w:footer="756" w:gutter="0"/>
          <w:cols w:space="708"/>
          <w:docGrid w:linePitch="326"/>
        </w:sectPr>
      </w:pPr>
    </w:p>
    <w:tbl>
      <w:tblPr>
        <w:tblStyle w:val="TableNormal"/>
        <w:tblpPr w:leftFromText="141" w:rightFromText="141" w:vertAnchor="text" w:horzAnchor="margin" w:tblpY="-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61"/>
      </w:tblGrid>
      <w:tr w:rsidR="00A140E8" w:rsidRPr="00A140E8" w:rsidTr="00A140E8">
        <w:trPr>
          <w:trHeight w:hRule="exact" w:val="267"/>
        </w:trPr>
        <w:tc>
          <w:tcPr>
            <w:tcW w:w="9351" w:type="dxa"/>
            <w:tcBorders>
              <w:bottom w:val="nil"/>
            </w:tcBorders>
          </w:tcPr>
          <w:p w:rsidR="00A140E8" w:rsidRPr="00A140E8" w:rsidRDefault="00A140E8" w:rsidP="00B10245">
            <w:pPr>
              <w:spacing w:line="250" w:lineRule="exact"/>
              <w:ind w:left="562" w:right="98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>informacje,  o  których  mowa  w  niniejszym ustępie,  umieszcza  się  na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stronie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internetowej</w:t>
            </w:r>
          </w:p>
        </w:tc>
        <w:tc>
          <w:tcPr>
            <w:tcW w:w="4961" w:type="dxa"/>
            <w:vMerge w:val="restart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99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państwa członkowskiego, w którym dana instytucja zarządzająca,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zgodnie z definicją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100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art. 21 rozporządzenia Parlamentu Europejskiego i Rady (UE) nr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1299/2013,  ma  siedzibę.  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421" w:right="98" w:hanging="141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Opcjonalnie,  uczestniczące  państwa  członkowskie </w:t>
            </w:r>
            <w:r w:rsidR="00A140E8" w:rsidRPr="00A140E8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mogą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również postanowić, że każde z nich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421" w:right="102" w:hanging="141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dostarcza informacje dotyczące środków pomocy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na swoim terytorium na odpowiednich stronach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34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internetowych.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137"/>
              </w:tabs>
              <w:spacing w:line="251" w:lineRule="exact"/>
              <w:ind w:right="98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W przypadku programów w formie korzyś</w:t>
            </w:r>
            <w:r w:rsidR="00B10245" w:rsidRPr="00B10245">
              <w:rPr>
                <w:rFonts w:ascii="Times New Roman" w:eastAsia="Times New Roman" w:hAnsi="Times New Roman" w:cs="Times New Roman"/>
                <w:lang w:val="pl-PL"/>
              </w:rPr>
              <w:t xml:space="preserve">ci podatkowych oraz programów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objętych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-5" w:right="101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art. 16 i 21 (z wyjątkiem MŚP, które nie zrealizowały żadnej sprzedaży komercyjnej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-5" w:right="101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 jakimkolwiek rynku) warunki określone w ust. 1 lit. c) tego artykułu uznaje się za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-5" w:right="99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spełnione,  jeżeli  państwa  członkowskie  publikują  wymagane  informacje dotyczące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kwot pomocy indywidualnej w następujących przedziałach (w mln EUR) (ust. 2):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0,5-1;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1-2;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2-5;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5-10;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10-30;</w:t>
            </w:r>
            <w:r w:rsidRPr="00A140E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oraz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30 lub</w:t>
            </w:r>
            <w:r w:rsidRPr="00A140E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więcej.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line="251" w:lineRule="exact"/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Informacje,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Pr="00B10245">
              <w:rPr>
                <w:rFonts w:ascii="Times New Roman" w:eastAsia="Times New Roman" w:hAnsi="Times New Roman" w:cs="Times New Roman"/>
                <w:spacing w:val="31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których</w:t>
            </w:r>
            <w:r w:rsidRPr="00B10245">
              <w:rPr>
                <w:rFonts w:ascii="Times New Roman" w:eastAsia="Times New Roman" w:hAnsi="Times New Roman" w:cs="Times New Roman"/>
                <w:spacing w:val="30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mowa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ust.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1</w:t>
            </w:r>
            <w:r w:rsidRPr="00B10245">
              <w:rPr>
                <w:rFonts w:ascii="Times New Roman" w:eastAsia="Times New Roman" w:hAnsi="Times New Roman" w:cs="Times New Roman"/>
                <w:spacing w:val="30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lit.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c),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przedstawia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się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udostępnia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sposób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znormalizowany  (zob.  załącznik  III),  umożliwiający  ich  sprawne  wyszukiwanie   i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pobieranie.  Informacje,  o  których  mowa  w  ust.  </w:t>
            </w:r>
            <w:r>
              <w:rPr>
                <w:rFonts w:ascii="Times New Roman" w:eastAsia="Times New Roman" w:hAnsi="Times New Roman" w:cs="Times New Roman"/>
              </w:rPr>
              <w:t>1,  są</w:t>
            </w:r>
            <w:r w:rsidRPr="00A140E8">
              <w:rPr>
                <w:rFonts w:ascii="Times New Roman" w:eastAsia="Times New Roman" w:hAnsi="Times New Roman" w:cs="Times New Roman"/>
              </w:rPr>
              <w:t xml:space="preserve">  publikowane  w  terminie   6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miesięcy  od  daty  przyznania  pomocy  lub,  w  przypadku  pomocy  w  formie     ulgi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B10245">
            <w:pPr>
              <w:spacing w:line="241" w:lineRule="exact"/>
              <w:ind w:right="99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podatkowej, w ciągu 1 roku od daty, w której wymagane jest</w:t>
            </w:r>
            <w:r w:rsidR="00A140E8" w:rsidRPr="00A140E8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złożenie deklaracji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podatkowej,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B10245">
            <w:pPr>
              <w:spacing w:line="241" w:lineRule="exact"/>
              <w:ind w:right="98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i będą dostępne co najmniej przez okres 10 lat od dnia, w którym pomoc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została przyznana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140E8" w:rsidRPr="00A140E8">
              <w:rPr>
                <w:rFonts w:ascii="Times New Roman" w:eastAsia="Times New Roman" w:hAnsi="Times New Roman" w:cs="Times New Roman"/>
              </w:rPr>
              <w:t xml:space="preserve"> (ust. 4).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line="251" w:lineRule="exact"/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Państwa członkowskie muszą zastosować się do przepisów tego artykułu najpóźniej</w:t>
            </w:r>
            <w:r w:rsidRPr="00B10245">
              <w:rPr>
                <w:rFonts w:ascii="Times New Roman" w:eastAsia="Times New Roman" w:hAnsi="Times New Roman" w:cs="Times New Roman"/>
                <w:spacing w:val="38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49"/>
        </w:trPr>
        <w:tc>
          <w:tcPr>
            <w:tcW w:w="9351" w:type="dxa"/>
            <w:tcBorders>
              <w:top w:val="nil"/>
            </w:tcBorders>
          </w:tcPr>
          <w:p w:rsidR="00A140E8" w:rsidRPr="00A140E8" w:rsidRDefault="00A140E8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ciągu dwóch lat od daty wejścia w życie rozporządzenia (tj. 1.7.2016) (ust. 6).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before="8" w:after="0" w:line="240" w:lineRule="auto"/>
        <w:rPr>
          <w:rFonts w:ascii="Times New Roman" w:eastAsia="Times New Roman" w:hAnsi="Times New Roman" w:cs="Times New Roman"/>
          <w:sz w:val="15"/>
          <w:szCs w:val="24"/>
          <w:lang w:eastAsia="pl-PL"/>
        </w:rPr>
      </w:pPr>
    </w:p>
    <w:p w:rsidR="00A140E8" w:rsidRPr="00A140E8" w:rsidRDefault="00A140E8" w:rsidP="00A140E8">
      <w:pPr>
        <w:spacing w:before="69" w:after="0" w:line="240" w:lineRule="auto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Definicje pojęć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zob. art. 2 (uwaga na nową definicję przedsiębiorstwa znajdującego się w trudnej sytuacji)</w:t>
      </w:r>
    </w:p>
    <w:p w:rsidR="00A140E8" w:rsidRPr="00A140E8" w:rsidRDefault="00A140E8" w:rsidP="00A140E8">
      <w:pPr>
        <w:spacing w:after="0" w:line="240" w:lineRule="auto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Sprawozdawczość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artykuł 11</w:t>
      </w:r>
    </w:p>
    <w:p w:rsidR="00A140E8" w:rsidRPr="00A140E8" w:rsidRDefault="00A140E8" w:rsidP="00A140E8">
      <w:pPr>
        <w:spacing w:after="0" w:line="253" w:lineRule="exact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Monitorowanie: 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 12</w:t>
      </w:r>
    </w:p>
    <w:p w:rsidR="00A140E8" w:rsidRPr="00A140E8" w:rsidRDefault="00A140E8" w:rsidP="00A140E8">
      <w:pPr>
        <w:spacing w:after="0" w:line="276" w:lineRule="exact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Wycofanie przywileju wyłączenia grupowego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artykuł 10</w:t>
      </w:r>
    </w:p>
    <w:p w:rsidR="00A140E8" w:rsidRPr="00A140E8" w:rsidRDefault="00A140E8" w:rsidP="00A140E8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>
          <w:pgSz w:w="15840" w:h="12240" w:orient="landscape"/>
          <w:pgMar w:top="2200" w:right="420" w:bottom="940" w:left="580" w:header="735" w:footer="756" w:gutter="0"/>
          <w:cols w:space="708"/>
        </w:sectPr>
      </w:pPr>
    </w:p>
    <w:p w:rsidR="00A140E8" w:rsidRPr="00A140E8" w:rsidRDefault="00A140E8" w:rsidP="00A140E8">
      <w:pPr>
        <w:widowControl w:val="0"/>
        <w:numPr>
          <w:ilvl w:val="0"/>
          <w:numId w:val="26"/>
        </w:numPr>
        <w:tabs>
          <w:tab w:val="left" w:pos="142"/>
          <w:tab w:val="left" w:pos="851"/>
        </w:tabs>
        <w:spacing w:before="72" w:after="0" w:line="240" w:lineRule="auto"/>
        <w:ind w:left="142" w:firstLine="0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  <w:lang w:eastAsia="pl-PL"/>
        </w:rPr>
      </w:pP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lastRenderedPageBreak/>
        <w:t>Warunki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szczególne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dotyczące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pomocy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na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infrastrukturę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sportową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wielofunkcyjną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infrastrukturę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rekreacyjną</w:t>
      </w: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140E8" w:rsidRPr="00A140E8" w:rsidRDefault="00A140E8" w:rsidP="00A140E8">
      <w:pPr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8"/>
        <w:gridCol w:w="4819"/>
      </w:tblGrid>
      <w:tr w:rsidR="00A140E8" w:rsidRPr="00A140E8" w:rsidTr="00B10245">
        <w:trPr>
          <w:trHeight w:hRule="exact" w:val="769"/>
        </w:trPr>
        <w:tc>
          <w:tcPr>
            <w:tcW w:w="9248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1214" w:right="857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A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  <w:lang w:val="pl-PL"/>
              </w:rPr>
              <w:t xml:space="preserve">RTYKUŁ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55</w:t>
            </w:r>
          </w:p>
          <w:p w:rsidR="00A140E8" w:rsidRPr="00A140E8" w:rsidRDefault="00A140E8" w:rsidP="00A140E8">
            <w:pPr>
              <w:spacing w:line="276" w:lineRule="auto"/>
              <w:ind w:left="1218" w:right="85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P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  <w:lang w:val="pl-PL"/>
              </w:rPr>
              <w:t>OMOC NA INFRASTRUKTURĘ SPORTOWĄ I WIELOFUNKCYJNĄ INFRASTRUKTURĘ REKREACYJNĄ</w:t>
            </w:r>
          </w:p>
        </w:tc>
        <w:tc>
          <w:tcPr>
            <w:tcW w:w="4819" w:type="dxa"/>
            <w:shd w:val="clear" w:color="auto" w:fill="333399"/>
          </w:tcPr>
          <w:p w:rsidR="00A140E8" w:rsidRPr="00A140E8" w:rsidRDefault="00A140E8" w:rsidP="00B10245">
            <w:pPr>
              <w:spacing w:line="252" w:lineRule="exact"/>
              <w:ind w:left="1984" w:hanging="1085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K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ONTROLA ZGODNOŚCI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(OK?)</w:t>
            </w:r>
          </w:p>
        </w:tc>
      </w:tr>
      <w:tr w:rsidR="00A140E8" w:rsidRPr="00A140E8" w:rsidTr="00B10245">
        <w:trPr>
          <w:trHeight w:hRule="exact" w:val="516"/>
        </w:trPr>
        <w:tc>
          <w:tcPr>
            <w:tcW w:w="9248" w:type="dxa"/>
          </w:tcPr>
          <w:p w:rsidR="00A140E8" w:rsidRPr="00A140E8" w:rsidRDefault="00A140E8" w:rsidP="00A140E8">
            <w:pPr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Zgodna z rynkiem wewnętrznym i wyłączona z obowiązku zgłoszenia, jeśli mają zastosowanie ogólne warunki zgodności oraz warunki tego artykułu (ust. 1).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376"/>
        </w:trPr>
        <w:tc>
          <w:tcPr>
            <w:tcW w:w="9248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Rodzaj infrastruktury</w:t>
            </w:r>
          </w:p>
        </w:tc>
        <w:tc>
          <w:tcPr>
            <w:tcW w:w="4819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B10245">
        <w:trPr>
          <w:trHeight w:hRule="exact" w:val="1038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9"/>
              </w:numPr>
              <w:tabs>
                <w:tab w:val="left" w:pos="463"/>
                <w:tab w:val="left" w:pos="464"/>
              </w:tabs>
              <w:spacing w:line="266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Infrastruktura sportowa i wielofunkcyjna infrastruktura</w:t>
            </w:r>
            <w:r w:rsidRPr="00A140E8">
              <w:rPr>
                <w:rFonts w:ascii="Times New Roman" w:eastAsia="Times New Roman" w:hAnsi="Times New Roman" w:cs="Times New Roman"/>
                <w:spacing w:val="-3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rekreacyjna</w:t>
            </w:r>
          </w:p>
          <w:p w:rsidR="00A140E8" w:rsidRPr="00A140E8" w:rsidRDefault="00A140E8" w:rsidP="00A140E8">
            <w:pPr>
              <w:ind w:left="463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wielofunkcyjną infrastrukturę rekreacyjną składa się zaplecze rekreacyjne 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wielofunkcyjnym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charakterze oferujące w szczególności usługi kulturalne i rekreacyjne, z wyjątkiem parków rozrywki i obiektów hotelowych (ust. 3).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306"/>
        </w:trPr>
        <w:tc>
          <w:tcPr>
            <w:tcW w:w="9248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Warunki użytkowania</w:t>
            </w:r>
          </w:p>
        </w:tc>
        <w:tc>
          <w:tcPr>
            <w:tcW w:w="4819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B10245">
        <w:trPr>
          <w:trHeight w:hRule="exact" w:val="1363"/>
        </w:trPr>
        <w:tc>
          <w:tcPr>
            <w:tcW w:w="9248" w:type="dxa"/>
          </w:tcPr>
          <w:p w:rsidR="00A140E8" w:rsidRPr="00A140E8" w:rsidRDefault="00A140E8" w:rsidP="00427789">
            <w:pPr>
              <w:numPr>
                <w:ilvl w:val="0"/>
                <w:numId w:val="8"/>
              </w:numPr>
              <w:tabs>
                <w:tab w:val="left" w:pos="464"/>
              </w:tabs>
              <w:ind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Infrastruktura sportowa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nie może być użytkowana wyłącznie przez jednego użytkownika uprawiającego sport zawodowo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. Wykorzystanie infrastruktury sportowej przez innych użytkowników uprawiających sport zawodowo lub amatorsko stanowi co najmniej 20% jej potencjału czasowego rocznie. Jeżeli z infrastruktury korzysta kilku użytkowników jednocześnie, oblicza się  odpowiednie odsetki wykorzystania potencjału czasowego (ust.</w:t>
            </w:r>
            <w:r w:rsidRPr="00A140E8">
              <w:rPr>
                <w:rFonts w:ascii="Times New Roman" w:eastAsia="Times New Roman" w:hAnsi="Times New Roman" w:cs="Times New Roman"/>
                <w:spacing w:val="-3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1386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7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Infrastruktura sportowa i wielofunkcyjna infrastruktura rekreacyjna jest udostępniania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szeregowi użytkowników na przejrzystych i niedyskryminacyjnych zasadach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. Przedsiębiorstwom, które finansują co najmniej 30 % kosztów inwestycji w infrastrukturę, można przyznać preferencyjny dostęp na bardziej korzystnych warunkach, o ile wyżej wspomniane warunki są udostępniane publicznie (ust.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4).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785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6"/>
              </w:numPr>
              <w:tabs>
                <w:tab w:val="left" w:pos="464"/>
              </w:tabs>
              <w:spacing w:before="15" w:line="254" w:lineRule="exact"/>
              <w:ind w:right="103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Jeżeli z infrastruktury sportowej korzystają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zawodowe kluby sportowe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, państwa członkowskie zapewniają, aby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warunki cenowe za korzystanie z infrastruktury były publicznie przystępne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</w:t>
            </w:r>
            <w:r w:rsidRPr="00A140E8">
              <w:rPr>
                <w:rFonts w:ascii="Times New Roman" w:eastAsia="Times New Roman" w:hAnsi="Times New Roman" w:cs="Times New Roman"/>
                <w:spacing w:val="-1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5).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1230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7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Wszelkie</w:t>
            </w:r>
            <w:r w:rsidRPr="00A140E8">
              <w:rPr>
                <w:rFonts w:ascii="Times New Roman" w:eastAsia="Times New Roman" w:hAnsi="Times New Roman" w:cs="Times New Roman"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koncesje</w:t>
            </w:r>
            <w:r w:rsidRPr="00A140E8">
              <w:rPr>
                <w:rFonts w:ascii="Times New Roman" w:eastAsia="Times New Roman" w:hAnsi="Times New Roman" w:cs="Times New Roman"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A140E8">
              <w:rPr>
                <w:rFonts w:ascii="Times New Roman" w:eastAsia="Times New Roman" w:hAnsi="Times New Roman" w:cs="Times New Roman"/>
                <w:spacing w:val="3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budowę,</w:t>
            </w:r>
            <w:r w:rsidRPr="00A140E8">
              <w:rPr>
                <w:rFonts w:ascii="Times New Roman" w:eastAsia="Times New Roman" w:hAnsi="Times New Roman" w:cs="Times New Roman"/>
                <w:b/>
                <w:spacing w:val="4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modernizację</w:t>
            </w:r>
            <w:r w:rsidRPr="00A140E8">
              <w:rPr>
                <w:rFonts w:ascii="Times New Roman" w:eastAsia="Times New Roman" w:hAnsi="Times New Roman" w:cs="Times New Roman"/>
                <w:b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b/>
                <w:spacing w:val="4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prowadzenie</w:t>
            </w:r>
            <w:r w:rsidRPr="00A140E8">
              <w:rPr>
                <w:rFonts w:ascii="Times New Roman" w:eastAsia="Times New Roman" w:hAnsi="Times New Roman" w:cs="Times New Roman"/>
                <w:b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infrastruktury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sportowej i wielofunkcyjnej infrastruktury rekreacyjnej bądź inne formy powierzenia osobie trzeciej takich zadań udzielane są na otwartych, przejrzystych i niedyskryminacyjnych zasadach, z należytym poszanowaniem obowiązujących zasad udzielania zamówień (ust.</w:t>
            </w:r>
            <w:r w:rsidR="00B10245" w:rsidRPr="00A140E8">
              <w:rPr>
                <w:rFonts w:ascii="Times New Roman" w:eastAsia="Times New Roman" w:hAnsi="Times New Roman" w:cs="Times New Roman"/>
                <w:spacing w:val="-17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6).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289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Forma pomocy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1230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4"/>
              </w:numPr>
              <w:tabs>
                <w:tab w:val="left" w:pos="420"/>
              </w:tabs>
              <w:spacing w:line="266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Pomoc może przybrać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formę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7)</w:t>
            </w:r>
          </w:p>
          <w:p w:rsidR="00B10245" w:rsidRPr="00A140E8" w:rsidRDefault="00B10245" w:rsidP="00B10245">
            <w:pPr>
              <w:numPr>
                <w:ilvl w:val="1"/>
                <w:numId w:val="4"/>
              </w:numPr>
              <w:tabs>
                <w:tab w:val="left" w:pos="766"/>
              </w:tabs>
              <w:ind w:right="101" w:hanging="40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inwestycyjnej, w tym pomocy na budowę lub modernizację infrastruktury sportowej i wielofunkcyjnej infrastruktury</w:t>
            </w:r>
            <w:r w:rsidRPr="00A140E8">
              <w:rPr>
                <w:rFonts w:ascii="Times New Roman" w:eastAsia="Times New Roman" w:hAnsi="Times New Roman" w:cs="Times New Roman"/>
                <w:spacing w:val="-3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rekreacyjnej;</w:t>
            </w:r>
          </w:p>
          <w:p w:rsidR="00B10245" w:rsidRPr="00A140E8" w:rsidRDefault="00B10245" w:rsidP="00B10245">
            <w:pPr>
              <w:numPr>
                <w:ilvl w:val="1"/>
                <w:numId w:val="4"/>
              </w:numPr>
              <w:tabs>
                <w:tab w:val="left" w:pos="659"/>
              </w:tabs>
              <w:ind w:left="658" w:hanging="238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inwestycyjnej na infrastrukturę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sportową.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338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Koszty kwalifikowalne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2282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3"/>
              </w:numPr>
              <w:tabs>
                <w:tab w:val="left" w:pos="464"/>
              </w:tabs>
              <w:spacing w:before="15" w:line="254" w:lineRule="exact"/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odniesieniu do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inwestycyjnej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i wielofunkcyjną infrastrukturę rekreacyjną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kosztami kwalifikowalnymi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są koszty inwestycji w rzeczowe aktywa trwałe oraz wartości niematerialne i prawne (ust. 8).</w:t>
            </w:r>
          </w:p>
          <w:p w:rsidR="00B10245" w:rsidRPr="00A140E8" w:rsidRDefault="00B10245" w:rsidP="00B10245">
            <w:pPr>
              <w:numPr>
                <w:ilvl w:val="0"/>
                <w:numId w:val="3"/>
              </w:numPr>
              <w:tabs>
                <w:tab w:val="left" w:pos="464"/>
              </w:tabs>
              <w:ind w:left="462"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operacyjnej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kosztami kwalifikowalnymi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są koszty operacyjne świadczenia usług w ramach takiej infrastruktury. Takie koszty operacyjne obejmują koszty, takie jak koszty personelu, materiałów, zakontraktowanych usług, komunikacji, energii, konserwacji, czynszu, administracji itp., lecz nie uwzględniają kosztów amortyzacji i kosztów finansowania, jeśli zostały one objęte zakresem pomocy inwestycyjnej (ust.</w:t>
            </w:r>
            <w:r w:rsidRPr="00A140E8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9).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317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Maksymalny próg pomocy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1839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inwestycyjnej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i wielofunkcyjną infrastrukturę rekreacyjną kwota pomocy nie przekracza różnicy między kosztami kwalifikowalnymi a zyskiem operacyjnym z inwestycji. Zysk operacyjny odlicza się od kosztów kwalifikowalnych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ex ante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na podstawie rozsądnych prognoz, albo poprzez mechanizm wycofania (ust.</w:t>
            </w:r>
            <w:r w:rsidRPr="00A140E8">
              <w:rPr>
                <w:rFonts w:ascii="Times New Roman" w:eastAsia="Times New Roman" w:hAnsi="Times New Roman" w:cs="Times New Roman"/>
                <w:spacing w:val="-1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10).</w:t>
            </w:r>
          </w:p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operacyjnej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kwota pomocy nie przekracza strat operacyjnych w odnośnym okresie. Powyższe należy zapewnić na zasadzie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ex ante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na podstawie rozsądnych prognoz, lub przy zastosowaniu mechanizmu wycofania (ust.</w:t>
            </w:r>
            <w:r w:rsidRPr="00A140E8">
              <w:rPr>
                <w:rFonts w:ascii="Times New Roman" w:eastAsia="Times New Roman" w:hAnsi="Times New Roman" w:cs="Times New Roman"/>
                <w:spacing w:val="-1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11).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986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spacing w:before="2"/>
              <w:ind w:right="105"/>
              <w:jc w:val="both"/>
              <w:rPr>
                <w:rFonts w:ascii="Times New Roman" w:hAnsi="Times New Roman" w:cs="Times New Roman"/>
                <w:lang w:val="pl-PL"/>
              </w:rPr>
            </w:pPr>
            <w:r w:rsidRPr="00A140E8">
              <w:rPr>
                <w:rFonts w:ascii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hAnsi="Times New Roman" w:cs="Times New Roman"/>
                <w:b/>
                <w:lang w:val="pl-PL"/>
              </w:rPr>
              <w:t>pomocy nieprzekraczającej 1 mln EUR</w:t>
            </w:r>
            <w:r w:rsidRPr="00A140E8">
              <w:rPr>
                <w:rFonts w:ascii="Times New Roman" w:hAnsi="Times New Roman" w:cs="Times New Roman"/>
                <w:lang w:val="pl-PL"/>
              </w:rPr>
              <w:t>, maksymalną kwotę pomocy można ustalić, alternatywnie wobec metody, o której mowa w ust. 10 i 11, na poziomie 80 % kosztów kwalifikowalnych (ust.</w:t>
            </w:r>
            <w:r w:rsidRPr="00A140E8">
              <w:rPr>
                <w:rFonts w:ascii="Times New Roman" w:hAnsi="Times New Roman" w:cs="Times New Roman"/>
                <w:spacing w:val="-26"/>
                <w:lang w:val="pl-PL"/>
              </w:rPr>
              <w:t xml:space="preserve"> </w:t>
            </w:r>
            <w:r w:rsidRPr="00A140E8">
              <w:rPr>
                <w:rFonts w:ascii="Times New Roman" w:hAnsi="Times New Roman" w:cs="Times New Roman"/>
                <w:lang w:val="pl-PL"/>
              </w:rPr>
              <w:t>12).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B10245" w:rsidRDefault="00B10245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245" w:rsidRDefault="00B10245" w:rsidP="00B102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7465" w:rsidRPr="00A140E8" w:rsidRDefault="00B10245" w:rsidP="00B10245">
      <w:pPr>
        <w:tabs>
          <w:tab w:val="left" w:pos="1965"/>
        </w:tabs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117465" w:rsidRPr="00A140E8" w:rsidSect="00A140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47" w:rsidRDefault="002E1347">
      <w:pPr>
        <w:spacing w:after="0" w:line="240" w:lineRule="auto"/>
      </w:pPr>
      <w:r>
        <w:separator/>
      </w:r>
    </w:p>
  </w:endnote>
  <w:endnote w:type="continuationSeparator" w:id="0">
    <w:p w:rsidR="002E1347" w:rsidRDefault="002E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858047"/>
      <w:docPartObj>
        <w:docPartGallery w:val="Page Numbers (Bottom of Page)"/>
        <w:docPartUnique/>
      </w:docPartObj>
    </w:sdtPr>
    <w:sdtEndPr/>
    <w:sdtContent>
      <w:p w:rsidR="007848C4" w:rsidRDefault="00427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B5F">
          <w:rPr>
            <w:noProof/>
          </w:rPr>
          <w:t>8</w:t>
        </w:r>
        <w:r>
          <w:fldChar w:fldCharType="end"/>
        </w:r>
      </w:p>
    </w:sdtContent>
  </w:sdt>
  <w:p w:rsidR="007848C4" w:rsidRDefault="002E1347">
    <w:pPr>
      <w:pStyle w:val="Tekstpodstawowy"/>
      <w:spacing w:line="14" w:lineRule="auto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47" w:rsidRDefault="002E1347">
      <w:pPr>
        <w:spacing w:after="0" w:line="240" w:lineRule="auto"/>
      </w:pPr>
      <w:r>
        <w:separator/>
      </w:r>
    </w:p>
  </w:footnote>
  <w:footnote w:type="continuationSeparator" w:id="0">
    <w:p w:rsidR="002E1347" w:rsidRDefault="002E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C4" w:rsidRPr="00CD099E" w:rsidRDefault="002E1347" w:rsidP="00CD09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0B9"/>
    <w:multiLevelType w:val="hybridMultilevel"/>
    <w:tmpl w:val="7C4E40DA"/>
    <w:lvl w:ilvl="0" w:tplc="4B6CC8C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5C339C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96280AC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C50CD42E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95BE3CD8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B4385712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C7B4EEC6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C1929F7E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12AE1CA4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" w15:restartNumberingAfterBreak="0">
    <w:nsid w:val="067E3072"/>
    <w:multiLevelType w:val="hybridMultilevel"/>
    <w:tmpl w:val="6E42540A"/>
    <w:lvl w:ilvl="0" w:tplc="5EE04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FF64A0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A7B2099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A1DC06D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712DB6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4DC06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068A47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DFE85C6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9F8D2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" w15:restartNumberingAfterBreak="0">
    <w:nsid w:val="077C4E43"/>
    <w:multiLevelType w:val="hybridMultilevel"/>
    <w:tmpl w:val="290037E0"/>
    <w:lvl w:ilvl="0" w:tplc="108C1EF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8B84E7A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16A85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D5AA20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8805D96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B3462C8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5ECAF34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C447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F9A009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" w15:restartNumberingAfterBreak="0">
    <w:nsid w:val="0D5C3E86"/>
    <w:multiLevelType w:val="hybridMultilevel"/>
    <w:tmpl w:val="915265A4"/>
    <w:lvl w:ilvl="0" w:tplc="C0B6783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C6253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3B448DC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BCCEB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163670F2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B86BA2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4DA85E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60D2C3AE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F58CA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4" w15:restartNumberingAfterBreak="0">
    <w:nsid w:val="16974782"/>
    <w:multiLevelType w:val="hybridMultilevel"/>
    <w:tmpl w:val="142417B4"/>
    <w:lvl w:ilvl="0" w:tplc="C5BA0CA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98CEB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D474E9A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FA3CD6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2BA5C2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F46A7A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713226FA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942CE38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3E6438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5" w15:restartNumberingAfterBreak="0">
    <w:nsid w:val="18687355"/>
    <w:multiLevelType w:val="hybridMultilevel"/>
    <w:tmpl w:val="9B3A7C24"/>
    <w:lvl w:ilvl="0" w:tplc="DA822BC2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00121768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3F1695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B0A8CE5A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DE7CC0B4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61265E24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EB04AD8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14927DFA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56848E42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6" w15:restartNumberingAfterBreak="0">
    <w:nsid w:val="25F42F06"/>
    <w:multiLevelType w:val="hybridMultilevel"/>
    <w:tmpl w:val="4552B166"/>
    <w:lvl w:ilvl="0" w:tplc="26AAC78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FEA74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430CB80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D4AC86F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BEF08D7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BF8F40C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0002BC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849A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A6214E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7" w15:restartNumberingAfterBreak="0">
    <w:nsid w:val="26106587"/>
    <w:multiLevelType w:val="hybridMultilevel"/>
    <w:tmpl w:val="703C4832"/>
    <w:lvl w:ilvl="0" w:tplc="F84ADA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AF8E6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F88147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9226E4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6960194C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C33C4D66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BF48AD5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5116396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7DB89C0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8" w15:restartNumberingAfterBreak="0">
    <w:nsid w:val="2A194797"/>
    <w:multiLevelType w:val="hybridMultilevel"/>
    <w:tmpl w:val="4016E176"/>
    <w:lvl w:ilvl="0" w:tplc="31FC09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708F62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FB8AD3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BBB22DC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AD66C8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40CF5A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324AF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26CF66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332457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" w15:restartNumberingAfterBreak="0">
    <w:nsid w:val="2A7A4D8F"/>
    <w:multiLevelType w:val="hybridMultilevel"/>
    <w:tmpl w:val="6F08EF0A"/>
    <w:lvl w:ilvl="0" w:tplc="F84623EE">
      <w:start w:val="1"/>
      <w:numFmt w:val="bullet"/>
      <w:lvlText w:val="-"/>
      <w:lvlJc w:val="left"/>
      <w:pPr>
        <w:ind w:left="823" w:hanging="32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2ACA82">
      <w:start w:val="1"/>
      <w:numFmt w:val="bullet"/>
      <w:lvlText w:val="•"/>
      <w:lvlJc w:val="left"/>
      <w:pPr>
        <w:ind w:left="1560" w:hanging="325"/>
      </w:pPr>
      <w:rPr>
        <w:rFonts w:hint="default"/>
      </w:rPr>
    </w:lvl>
    <w:lvl w:ilvl="2" w:tplc="97984B94">
      <w:start w:val="1"/>
      <w:numFmt w:val="bullet"/>
      <w:lvlText w:val="•"/>
      <w:lvlJc w:val="left"/>
      <w:pPr>
        <w:ind w:left="2300" w:hanging="325"/>
      </w:pPr>
      <w:rPr>
        <w:rFonts w:hint="default"/>
      </w:rPr>
    </w:lvl>
    <w:lvl w:ilvl="3" w:tplc="FC90E530">
      <w:start w:val="1"/>
      <w:numFmt w:val="bullet"/>
      <w:lvlText w:val="•"/>
      <w:lvlJc w:val="left"/>
      <w:pPr>
        <w:ind w:left="3041" w:hanging="325"/>
      </w:pPr>
      <w:rPr>
        <w:rFonts w:hint="default"/>
      </w:rPr>
    </w:lvl>
    <w:lvl w:ilvl="4" w:tplc="F856A5DE">
      <w:start w:val="1"/>
      <w:numFmt w:val="bullet"/>
      <w:lvlText w:val="•"/>
      <w:lvlJc w:val="left"/>
      <w:pPr>
        <w:ind w:left="3781" w:hanging="325"/>
      </w:pPr>
      <w:rPr>
        <w:rFonts w:hint="default"/>
      </w:rPr>
    </w:lvl>
    <w:lvl w:ilvl="5" w:tplc="D256B698">
      <w:start w:val="1"/>
      <w:numFmt w:val="bullet"/>
      <w:lvlText w:val="•"/>
      <w:lvlJc w:val="left"/>
      <w:pPr>
        <w:ind w:left="4521" w:hanging="325"/>
      </w:pPr>
      <w:rPr>
        <w:rFonts w:hint="default"/>
      </w:rPr>
    </w:lvl>
    <w:lvl w:ilvl="6" w:tplc="770A14AC">
      <w:start w:val="1"/>
      <w:numFmt w:val="bullet"/>
      <w:lvlText w:val="•"/>
      <w:lvlJc w:val="left"/>
      <w:pPr>
        <w:ind w:left="5262" w:hanging="325"/>
      </w:pPr>
      <w:rPr>
        <w:rFonts w:hint="default"/>
      </w:rPr>
    </w:lvl>
    <w:lvl w:ilvl="7" w:tplc="8346B6A2">
      <w:start w:val="1"/>
      <w:numFmt w:val="bullet"/>
      <w:lvlText w:val="•"/>
      <w:lvlJc w:val="left"/>
      <w:pPr>
        <w:ind w:left="6002" w:hanging="325"/>
      </w:pPr>
      <w:rPr>
        <w:rFonts w:hint="default"/>
      </w:rPr>
    </w:lvl>
    <w:lvl w:ilvl="8" w:tplc="EE2E187A">
      <w:start w:val="1"/>
      <w:numFmt w:val="bullet"/>
      <w:lvlText w:val="•"/>
      <w:lvlJc w:val="left"/>
      <w:pPr>
        <w:ind w:left="6742" w:hanging="325"/>
      </w:pPr>
      <w:rPr>
        <w:rFonts w:hint="default"/>
      </w:rPr>
    </w:lvl>
  </w:abstractNum>
  <w:abstractNum w:abstractNumId="10" w15:restartNumberingAfterBreak="0">
    <w:nsid w:val="34487D47"/>
    <w:multiLevelType w:val="hybridMultilevel"/>
    <w:tmpl w:val="A920C36A"/>
    <w:lvl w:ilvl="0" w:tplc="691A60DE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BF0E1EA6">
      <w:start w:val="1"/>
      <w:numFmt w:val="lowerLetter"/>
      <w:lvlText w:val="%2)"/>
      <w:lvlJc w:val="left"/>
      <w:pPr>
        <w:ind w:left="823" w:hanging="34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F22E3DC">
      <w:start w:val="1"/>
      <w:numFmt w:val="bullet"/>
      <w:lvlText w:val="•"/>
      <w:lvlJc w:val="left"/>
      <w:pPr>
        <w:ind w:left="1599" w:hanging="346"/>
      </w:pPr>
      <w:rPr>
        <w:rFonts w:hint="default"/>
      </w:rPr>
    </w:lvl>
    <w:lvl w:ilvl="3" w:tplc="1854BD0C">
      <w:start w:val="1"/>
      <w:numFmt w:val="bullet"/>
      <w:lvlText w:val="•"/>
      <w:lvlJc w:val="left"/>
      <w:pPr>
        <w:ind w:left="2379" w:hanging="346"/>
      </w:pPr>
      <w:rPr>
        <w:rFonts w:hint="default"/>
      </w:rPr>
    </w:lvl>
    <w:lvl w:ilvl="4" w:tplc="F87C5772">
      <w:start w:val="1"/>
      <w:numFmt w:val="bullet"/>
      <w:lvlText w:val="•"/>
      <w:lvlJc w:val="left"/>
      <w:pPr>
        <w:ind w:left="3159" w:hanging="346"/>
      </w:pPr>
      <w:rPr>
        <w:rFonts w:hint="default"/>
      </w:rPr>
    </w:lvl>
    <w:lvl w:ilvl="5" w:tplc="0F78E030">
      <w:start w:val="1"/>
      <w:numFmt w:val="bullet"/>
      <w:lvlText w:val="•"/>
      <w:lvlJc w:val="left"/>
      <w:pPr>
        <w:ind w:left="3938" w:hanging="346"/>
      </w:pPr>
      <w:rPr>
        <w:rFonts w:hint="default"/>
      </w:rPr>
    </w:lvl>
    <w:lvl w:ilvl="6" w:tplc="2FA63818">
      <w:start w:val="1"/>
      <w:numFmt w:val="bullet"/>
      <w:lvlText w:val="•"/>
      <w:lvlJc w:val="left"/>
      <w:pPr>
        <w:ind w:left="4718" w:hanging="346"/>
      </w:pPr>
      <w:rPr>
        <w:rFonts w:hint="default"/>
      </w:rPr>
    </w:lvl>
    <w:lvl w:ilvl="7" w:tplc="808268E0">
      <w:start w:val="1"/>
      <w:numFmt w:val="bullet"/>
      <w:lvlText w:val="•"/>
      <w:lvlJc w:val="left"/>
      <w:pPr>
        <w:ind w:left="5498" w:hanging="346"/>
      </w:pPr>
      <w:rPr>
        <w:rFonts w:hint="default"/>
      </w:rPr>
    </w:lvl>
    <w:lvl w:ilvl="8" w:tplc="BA96BAC0">
      <w:start w:val="1"/>
      <w:numFmt w:val="bullet"/>
      <w:lvlText w:val="•"/>
      <w:lvlJc w:val="left"/>
      <w:pPr>
        <w:ind w:left="6277" w:hanging="346"/>
      </w:pPr>
      <w:rPr>
        <w:rFonts w:hint="default"/>
      </w:rPr>
    </w:lvl>
  </w:abstractNum>
  <w:abstractNum w:abstractNumId="11" w15:restartNumberingAfterBreak="0">
    <w:nsid w:val="34F84D72"/>
    <w:multiLevelType w:val="hybridMultilevel"/>
    <w:tmpl w:val="83329FD8"/>
    <w:lvl w:ilvl="0" w:tplc="C1E64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1B0B54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83CED80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2F2789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BE28936A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5" w:tplc="B9C07B32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6" w:tplc="B65EA76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09902AB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8C7285DC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12" w15:restartNumberingAfterBreak="0">
    <w:nsid w:val="3E324825"/>
    <w:multiLevelType w:val="hybridMultilevel"/>
    <w:tmpl w:val="0826165E"/>
    <w:lvl w:ilvl="0" w:tplc="04150001">
      <w:start w:val="1"/>
      <w:numFmt w:val="bullet"/>
      <w:lvlText w:val=""/>
      <w:lvlJc w:val="left"/>
      <w:pPr>
        <w:ind w:left="103" w:hanging="351"/>
      </w:pPr>
      <w:rPr>
        <w:rFonts w:ascii="Symbol" w:hAnsi="Symbol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13" w15:restartNumberingAfterBreak="0">
    <w:nsid w:val="3E3709E2"/>
    <w:multiLevelType w:val="hybridMultilevel"/>
    <w:tmpl w:val="8A3ED300"/>
    <w:lvl w:ilvl="0" w:tplc="4E2C6D7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B702EF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0B6A69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03A190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750CBDF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ECCD83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C00B97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7700D33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EB6653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4" w15:restartNumberingAfterBreak="0">
    <w:nsid w:val="3FD75968"/>
    <w:multiLevelType w:val="hybridMultilevel"/>
    <w:tmpl w:val="46465DF4"/>
    <w:lvl w:ilvl="0" w:tplc="CFEE5C2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0426B1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960AA9D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66E49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708ED6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280253B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87320628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27C16BA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638EA6A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5" w15:restartNumberingAfterBreak="0">
    <w:nsid w:val="3FE91AC7"/>
    <w:multiLevelType w:val="hybridMultilevel"/>
    <w:tmpl w:val="F57C40B0"/>
    <w:lvl w:ilvl="0" w:tplc="2B3298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AEF950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5C6DFE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8B8666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E670EE4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8B0567E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B60C98D4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EBAC14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21846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6" w15:restartNumberingAfterBreak="0">
    <w:nsid w:val="4DF50558"/>
    <w:multiLevelType w:val="hybridMultilevel"/>
    <w:tmpl w:val="59C44E30"/>
    <w:lvl w:ilvl="0" w:tplc="ED08DDA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E2FD1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5A10A0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A6AECCF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8446D0A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6CA3B7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EF70201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754439AA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0FC979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7" w15:restartNumberingAfterBreak="0">
    <w:nsid w:val="5296190C"/>
    <w:multiLevelType w:val="hybridMultilevel"/>
    <w:tmpl w:val="2922837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576C0E62"/>
    <w:multiLevelType w:val="hybridMultilevel"/>
    <w:tmpl w:val="FA24E136"/>
    <w:lvl w:ilvl="0" w:tplc="4EBE3CC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A16097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12EE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9BE167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F66FB8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CD0B1C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A32744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8E8E4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BC081E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9" w15:restartNumberingAfterBreak="0">
    <w:nsid w:val="5CD81BB6"/>
    <w:multiLevelType w:val="hybridMultilevel"/>
    <w:tmpl w:val="914445FC"/>
    <w:lvl w:ilvl="0" w:tplc="36C8271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50474E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BE5A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E74D05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76E66D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E9920FD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BA258F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DB60A1B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81506E3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0" w15:restartNumberingAfterBreak="0">
    <w:nsid w:val="5FE63C77"/>
    <w:multiLevelType w:val="hybridMultilevel"/>
    <w:tmpl w:val="B54A4B00"/>
    <w:lvl w:ilvl="0" w:tplc="97E6ECE2">
      <w:start w:val="1"/>
      <w:numFmt w:val="lowerLetter"/>
      <w:lvlText w:val="%1)"/>
      <w:lvlJc w:val="left"/>
      <w:pPr>
        <w:ind w:left="103" w:hanging="35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21" w15:restartNumberingAfterBreak="0">
    <w:nsid w:val="62B470F5"/>
    <w:multiLevelType w:val="hybridMultilevel"/>
    <w:tmpl w:val="5F8038D2"/>
    <w:lvl w:ilvl="0" w:tplc="2A429D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FF65BEE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29CA853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A2CAF6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0CC64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D0780658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A53A3A7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8CCC14E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FF4B222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22" w15:restartNumberingAfterBreak="0">
    <w:nsid w:val="67981116"/>
    <w:multiLevelType w:val="hybridMultilevel"/>
    <w:tmpl w:val="641033BA"/>
    <w:lvl w:ilvl="0" w:tplc="B9269F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D89E4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EC03D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7D5A4B5E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DF24126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DCF06B38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9EF0D6F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FAD0928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5CE86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3" w15:restartNumberingAfterBreak="0">
    <w:nsid w:val="680A1DF2"/>
    <w:multiLevelType w:val="hybridMultilevel"/>
    <w:tmpl w:val="09185718"/>
    <w:lvl w:ilvl="0" w:tplc="A2B8FC1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F6158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A8AFEF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F02F33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51B4D98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C2A3B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E01412A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2828E38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53C86B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4" w15:restartNumberingAfterBreak="0">
    <w:nsid w:val="69FE07D4"/>
    <w:multiLevelType w:val="hybridMultilevel"/>
    <w:tmpl w:val="1388BCF6"/>
    <w:lvl w:ilvl="0" w:tplc="D1705A72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44C6D08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374A5C36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4C4E9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E6C1C9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4525C6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41605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4F0085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6BF652C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5" w15:restartNumberingAfterBreak="0">
    <w:nsid w:val="6CA71C1F"/>
    <w:multiLevelType w:val="hybridMultilevel"/>
    <w:tmpl w:val="1DD01D02"/>
    <w:lvl w:ilvl="0" w:tplc="373C513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43816DA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98A182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92EA17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5F4B43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792CDD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DA295F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6186BC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AF61AB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6" w15:restartNumberingAfterBreak="0">
    <w:nsid w:val="7697466A"/>
    <w:multiLevelType w:val="hybridMultilevel"/>
    <w:tmpl w:val="2E9C9224"/>
    <w:lvl w:ilvl="0" w:tplc="0F1C010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F64B3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BD65F2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460E127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8F90281A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BF4D4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1A848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8FF2DF20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7F16F9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7" w15:restartNumberingAfterBreak="0">
    <w:nsid w:val="7835697D"/>
    <w:multiLevelType w:val="hybridMultilevel"/>
    <w:tmpl w:val="3CCCEF5C"/>
    <w:lvl w:ilvl="0" w:tplc="BF0E1EA6">
      <w:start w:val="1"/>
      <w:numFmt w:val="lowerLetter"/>
      <w:lvlText w:val="%1)"/>
      <w:lvlJc w:val="left"/>
      <w:pPr>
        <w:ind w:left="857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 w15:restartNumberingAfterBreak="0">
    <w:nsid w:val="78C86802"/>
    <w:multiLevelType w:val="hybridMultilevel"/>
    <w:tmpl w:val="DEF28456"/>
    <w:lvl w:ilvl="0" w:tplc="35BAA9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4EE625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A7A607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88196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9490079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940B8B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59E39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DE012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7CFC3222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10"/>
  </w:num>
  <w:num w:numId="5">
    <w:abstractNumId w:val="26"/>
  </w:num>
  <w:num w:numId="6">
    <w:abstractNumId w:val="13"/>
  </w:num>
  <w:num w:numId="7">
    <w:abstractNumId w:val="3"/>
  </w:num>
  <w:num w:numId="8">
    <w:abstractNumId w:val="14"/>
  </w:num>
  <w:num w:numId="9">
    <w:abstractNumId w:val="25"/>
  </w:num>
  <w:num w:numId="10">
    <w:abstractNumId w:val="8"/>
  </w:num>
  <w:num w:numId="11">
    <w:abstractNumId w:val="16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28"/>
  </w:num>
  <w:num w:numId="17">
    <w:abstractNumId w:val="21"/>
  </w:num>
  <w:num w:numId="18">
    <w:abstractNumId w:val="9"/>
  </w:num>
  <w:num w:numId="19">
    <w:abstractNumId w:val="7"/>
  </w:num>
  <w:num w:numId="20">
    <w:abstractNumId w:val="22"/>
  </w:num>
  <w:num w:numId="21">
    <w:abstractNumId w:val="2"/>
  </w:num>
  <w:num w:numId="22">
    <w:abstractNumId w:val="6"/>
  </w:num>
  <w:num w:numId="23">
    <w:abstractNumId w:val="20"/>
  </w:num>
  <w:num w:numId="24">
    <w:abstractNumId w:val="24"/>
  </w:num>
  <w:num w:numId="25">
    <w:abstractNumId w:val="18"/>
  </w:num>
  <w:num w:numId="26">
    <w:abstractNumId w:val="5"/>
  </w:num>
  <w:num w:numId="27">
    <w:abstractNumId w:val="17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8"/>
    <w:rsid w:val="00117465"/>
    <w:rsid w:val="00235B5F"/>
    <w:rsid w:val="002E1347"/>
    <w:rsid w:val="00427789"/>
    <w:rsid w:val="00675FB2"/>
    <w:rsid w:val="00A140E8"/>
    <w:rsid w:val="00B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7A3E-250B-4407-AE98-B95F210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40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40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A140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140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A140E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A140E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A1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46C0-030F-4B6B-8317-CEA7597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dcterms:created xsi:type="dcterms:W3CDTF">2016-11-30T14:24:00Z</dcterms:created>
  <dcterms:modified xsi:type="dcterms:W3CDTF">2016-11-30T14:24:00Z</dcterms:modified>
</cp:coreProperties>
</file>