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D4C0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CB69BE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CB69BE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939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Default="00CB69BE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2118D7FE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568AACED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621D6AB9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7F0A52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7F0A52">
        <w:trPr>
          <w:cantSplit/>
          <w:jc w:val="center"/>
        </w:trPr>
        <w:tc>
          <w:tcPr>
            <w:tcW w:w="1838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7F0A52">
        <w:trPr>
          <w:cantSplit/>
          <w:jc w:val="center"/>
        </w:trPr>
        <w:tc>
          <w:tcPr>
            <w:tcW w:w="1838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7F0A52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7F0A52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79FBF5F2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(2 %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409209F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 tym koszty pośrednie: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489A9FA0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37291658" w14:textId="415ECBBB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1505DB">
              <w:rPr>
                <w:rFonts w:ascii="Arial Narrow" w:hAnsi="Arial Narrow" w:cs="Arial"/>
                <w:b/>
              </w:rPr>
              <w:t>Wydatki na podniesienie efektywności energetycznej budynków placówek ochrony zdrowia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3E4B1140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E19193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8D4C0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8D4C0E">
              <w:rPr>
                <w:rFonts w:ascii="Arial Narrow" w:hAnsi="Arial Narrow" w:cs="Arial"/>
                <w:sz w:val="22"/>
                <w:szCs w:val="22"/>
              </w:rPr>
            </w:r>
            <w:r w:rsidR="008D4C0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25E85D46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66D2720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040B5F22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Inne dokumenty wymagane prawem polskim lub kategorią projektu</w:t>
      </w:r>
      <w:r w:rsidR="00246222">
        <w:rPr>
          <w:rFonts w:ascii="Arial Narrow" w:hAnsi="Arial Narrow"/>
          <w:sz w:val="22"/>
          <w:szCs w:val="22"/>
        </w:rPr>
        <w:t>:</w:t>
      </w:r>
      <w:r w:rsidR="000D2A58">
        <w:rPr>
          <w:rFonts w:ascii="Arial Narrow" w:hAnsi="Arial Narrow"/>
          <w:sz w:val="22"/>
          <w:szCs w:val="22"/>
        </w:rPr>
        <w:t xml:space="preserve"> </w:t>
      </w:r>
    </w:p>
    <w:p w14:paraId="61D49109" w14:textId="04140912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AF6ED3">
        <w:rPr>
          <w:rFonts w:ascii="Arial Narrow" w:hAnsi="Arial Narrow"/>
          <w:sz w:val="22"/>
          <w:szCs w:val="22"/>
        </w:rPr>
        <w:t xml:space="preserve">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E0AB7" w14:textId="77777777" w:rsidR="008D4C0E" w:rsidRDefault="008D4C0E">
      <w:r>
        <w:separator/>
      </w:r>
    </w:p>
  </w:endnote>
  <w:endnote w:type="continuationSeparator" w:id="0">
    <w:p w14:paraId="6D7C0E65" w14:textId="77777777" w:rsidR="008D4C0E" w:rsidRDefault="008D4C0E">
      <w:r>
        <w:continuationSeparator/>
      </w:r>
    </w:p>
  </w:endnote>
  <w:endnote w:type="continuationNotice" w:id="1">
    <w:p w14:paraId="1E3691B4" w14:textId="77777777" w:rsidR="008D4C0E" w:rsidRDefault="008D4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13251F" w:rsidRDefault="001325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13251F" w:rsidRDefault="0013251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63874EDC" w:rsidR="0013251F" w:rsidRDefault="0013251F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2304EB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13251F" w:rsidRDefault="0013251F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979BB" w14:textId="77777777" w:rsidR="008D4C0E" w:rsidRDefault="008D4C0E">
      <w:r>
        <w:separator/>
      </w:r>
    </w:p>
  </w:footnote>
  <w:footnote w:type="continuationSeparator" w:id="0">
    <w:p w14:paraId="36604FC6" w14:textId="77777777" w:rsidR="008D4C0E" w:rsidRDefault="008D4C0E">
      <w:r>
        <w:continuationSeparator/>
      </w:r>
    </w:p>
  </w:footnote>
  <w:footnote w:type="continuationNotice" w:id="1">
    <w:p w14:paraId="027D3B15" w14:textId="77777777" w:rsidR="008D4C0E" w:rsidRDefault="008D4C0E"/>
  </w:footnote>
  <w:footnote w:id="2">
    <w:p w14:paraId="5295CEFC" w14:textId="77777777" w:rsidR="0013251F" w:rsidRDefault="0013251F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13251F" w:rsidRDefault="0013251F" w:rsidP="00563CDF">
    <w:pPr>
      <w:pStyle w:val="Nagwek"/>
      <w:jc w:val="center"/>
    </w:pPr>
  </w:p>
  <w:p w14:paraId="67EA7EDF" w14:textId="59F2ABDE" w:rsidR="0013251F" w:rsidRDefault="0013251F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6D7F4961" w:rsidR="0013251F" w:rsidRPr="00774587" w:rsidRDefault="0013251F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1D561B">
      <w:rPr>
        <w:rFonts w:ascii="Arial" w:hAnsi="Arial" w:cs="Arial"/>
        <w:b/>
      </w:rPr>
      <w:t>I</w:t>
    </w:r>
  </w:p>
  <w:p w14:paraId="766EB443" w14:textId="351DFDEA" w:rsidR="0013251F" w:rsidRDefault="0013251F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13251F" w:rsidRDefault="001325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04EB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B687E"/>
    <w:rsid w:val="003C1924"/>
    <w:rsid w:val="003C1B05"/>
    <w:rsid w:val="003C581B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4C0E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24B4D7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4E91-FD28-4DE8-B5F7-2E73F4D6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3820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2017-12-19T08:21:00Z</cp:lastPrinted>
  <dcterms:created xsi:type="dcterms:W3CDTF">2017-12-21T13:27:00Z</dcterms:created>
  <dcterms:modified xsi:type="dcterms:W3CDTF">2017-12-21T13:27:00Z</dcterms:modified>
</cp:coreProperties>
</file>