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90715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992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3B5202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3B5202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3B5202" w14:paraId="7B265AFF" w14:textId="77777777" w:rsidTr="003B5202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A8B11" w14:textId="1623C38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5D427" w14:textId="75108886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8D939" w14:textId="16527A43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223F9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3B5202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3B5202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5F337F08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3B5202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105B346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3B5202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3B5202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3B5202">
        <w:trPr>
          <w:cantSplit/>
          <w:jc w:val="center"/>
        </w:trPr>
        <w:tc>
          <w:tcPr>
            <w:tcW w:w="1838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3B5202">
        <w:trPr>
          <w:cantSplit/>
          <w:jc w:val="center"/>
        </w:trPr>
        <w:tc>
          <w:tcPr>
            <w:tcW w:w="1838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3B5202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3B5202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3B5202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53273D56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131E05">
              <w:rPr>
                <w:rFonts w:ascii="Arial Narrow" w:hAnsi="Arial Narrow" w:cs="Arial"/>
                <w:sz w:val="22"/>
                <w:szCs w:val="22"/>
              </w:rPr>
              <w:t>1,5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Cross-</w:t>
            </w:r>
            <w:proofErr w:type="spellStart"/>
            <w:r w:rsidRPr="0086708E">
              <w:rPr>
                <w:rFonts w:ascii="Arial Narrow" w:hAnsi="Arial Narrow"/>
                <w:b/>
                <w:sz w:val="16"/>
                <w:szCs w:val="18"/>
              </w:rPr>
              <w:t>financing</w:t>
            </w:r>
            <w:proofErr w:type="spellEnd"/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</w:t>
            </w:r>
            <w:proofErr w:type="spellStart"/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minimis</w:t>
            </w:r>
            <w:proofErr w:type="spellEnd"/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</w:t>
            </w:r>
            <w:proofErr w:type="spellStart"/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minimis</w:t>
            </w:r>
            <w:proofErr w:type="spellEnd"/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90715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</w:t>
            </w:r>
            <w:proofErr w:type="spellStart"/>
            <w:r w:rsidR="00133EB2"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90715">
              <w:rPr>
                <w:rFonts w:ascii="Arial Narrow" w:hAnsi="Arial Narrow" w:cs="Arial"/>
                <w:sz w:val="22"/>
                <w:szCs w:val="22"/>
              </w:rPr>
            </w:r>
            <w:r w:rsidR="00B9071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1BD8CCE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  <w:r w:rsidR="006A1AA9">
        <w:rPr>
          <w:rFonts w:ascii="Arial Narrow" w:hAnsi="Arial Narrow"/>
          <w:sz w:val="22"/>
          <w:szCs w:val="22"/>
        </w:rPr>
        <w:t>– NIE DOTYCZY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040B5F22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Inne dokumenty wymagane prawem polskim lub kategorią projektu</w:t>
      </w:r>
      <w:r w:rsidR="00246222">
        <w:rPr>
          <w:rFonts w:ascii="Arial Narrow" w:hAnsi="Arial Narrow"/>
          <w:sz w:val="22"/>
          <w:szCs w:val="22"/>
        </w:rPr>
        <w:t>:</w:t>
      </w:r>
      <w:r w:rsidR="000D2A58">
        <w:rPr>
          <w:rFonts w:ascii="Arial Narrow" w:hAnsi="Arial Narrow"/>
          <w:sz w:val="22"/>
          <w:szCs w:val="22"/>
        </w:rPr>
        <w:t xml:space="preserve"> </w:t>
      </w:r>
    </w:p>
    <w:p w14:paraId="61D49109" w14:textId="04140912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AF6ED3">
        <w:rPr>
          <w:rFonts w:ascii="Arial Narrow" w:hAnsi="Arial Narrow"/>
          <w:sz w:val="22"/>
          <w:szCs w:val="22"/>
        </w:rPr>
        <w:t xml:space="preserve">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51597" w14:textId="77777777" w:rsidR="00B90715" w:rsidRDefault="00B90715">
      <w:r>
        <w:separator/>
      </w:r>
    </w:p>
  </w:endnote>
  <w:endnote w:type="continuationSeparator" w:id="0">
    <w:p w14:paraId="60B321A8" w14:textId="77777777" w:rsidR="00B90715" w:rsidRDefault="00B90715">
      <w:r>
        <w:continuationSeparator/>
      </w:r>
    </w:p>
  </w:endnote>
  <w:endnote w:type="continuationNotice" w:id="1">
    <w:p w14:paraId="6B81EA0A" w14:textId="77777777" w:rsidR="00B90715" w:rsidRDefault="00B90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B90715" w:rsidRDefault="00B907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B90715" w:rsidRDefault="00B907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63874EDC" w:rsidR="00B90715" w:rsidRDefault="00B90715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3467C3">
      <w:rPr>
        <w:rStyle w:val="Numerstrony"/>
        <w:rFonts w:ascii="Arial Narrow" w:hAnsi="Arial Narrow"/>
        <w:noProof/>
      </w:rPr>
      <w:t>17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B90715" w:rsidRDefault="00B90715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422D" w14:textId="77777777" w:rsidR="00B90715" w:rsidRDefault="00B90715">
      <w:r>
        <w:separator/>
      </w:r>
    </w:p>
  </w:footnote>
  <w:footnote w:type="continuationSeparator" w:id="0">
    <w:p w14:paraId="549B90D8" w14:textId="77777777" w:rsidR="00B90715" w:rsidRDefault="00B90715">
      <w:r>
        <w:continuationSeparator/>
      </w:r>
    </w:p>
  </w:footnote>
  <w:footnote w:type="continuationNotice" w:id="1">
    <w:p w14:paraId="67E29506" w14:textId="77777777" w:rsidR="00B90715" w:rsidRDefault="00B90715"/>
  </w:footnote>
  <w:footnote w:id="2">
    <w:p w14:paraId="5295CEFC" w14:textId="77777777" w:rsidR="00B90715" w:rsidRDefault="00B90715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B90715" w:rsidRDefault="00B90715" w:rsidP="00563CDF">
    <w:pPr>
      <w:pStyle w:val="Nagwek"/>
      <w:jc w:val="center"/>
    </w:pPr>
  </w:p>
  <w:p w14:paraId="67EA7EDF" w14:textId="59F2ABDE" w:rsidR="00B90715" w:rsidRDefault="00B90715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6D7F4961" w:rsidR="00B90715" w:rsidRPr="00774587" w:rsidRDefault="00B90715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B90715" w:rsidRDefault="00B90715" w:rsidP="003E7F4C">
    <w:pPr>
      <w:pStyle w:val="Nagwek"/>
      <w:jc w:val="center"/>
      <w:rPr>
        <w:szCs w:val="18"/>
      </w:rPr>
    </w:pPr>
  </w:p>
  <w:p w14:paraId="4FB67AC6" w14:textId="77777777" w:rsidR="00B90715" w:rsidRDefault="00B90715" w:rsidP="00D61057">
    <w:pPr>
      <w:pStyle w:val="Nagwek"/>
      <w:jc w:val="center"/>
    </w:pPr>
  </w:p>
  <w:p w14:paraId="0F935A42" w14:textId="278C6E3E" w:rsidR="00B90715" w:rsidRDefault="00B90715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5B24B4D7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AE74-5C6D-4089-8105-1979A38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20</Pages>
  <Words>3235</Words>
  <Characters>23517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Robert Wójcik</cp:lastModifiedBy>
  <cp:revision>6</cp:revision>
  <cp:lastPrinted>2017-12-19T08:21:00Z</cp:lastPrinted>
  <dcterms:created xsi:type="dcterms:W3CDTF">2017-12-19T10:26:00Z</dcterms:created>
  <dcterms:modified xsi:type="dcterms:W3CDTF">2018-01-22T12:52:00Z</dcterms:modified>
</cp:coreProperties>
</file>