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26" w:rsidRPr="001D76E3" w:rsidRDefault="00606595" w:rsidP="001D76E3">
      <w:pPr>
        <w:spacing w:line="276" w:lineRule="auto"/>
        <w:rPr>
          <w:rFonts w:ascii="Arial Narrow" w:hAnsi="Arial Narrow" w:cs="Arial"/>
          <w:b/>
          <w:sz w:val="20"/>
          <w:szCs w:val="20"/>
        </w:rPr>
      </w:pPr>
      <w:bookmarkStart w:id="0" w:name="_GoBack"/>
      <w:bookmarkEnd w:id="0"/>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12.75pt" o:ole="">
                  <v:imagedata r:id="rId17" o:title=""/>
                </v:shape>
                <o:OLEObject Type="Embed" ProgID="PBrush" ShapeID="_x0000_i1025" DrawAspect="Content" ObjectID="_1586604959"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lastRenderedPageBreak/>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lastRenderedPageBreak/>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5"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lata 2014-2020, z dnia 18 maja 2017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zagadnień związanych z przygotowaniem projektów inwestycyjnych, w tym projektów generujących dochód i projektów hybrydowych na lata 2014-2020, z dnia 17 lutego 2017 r. </w:t>
      </w:r>
    </w:p>
    <w:p w:rsidR="00E37AC6" w:rsidRPr="00E37AC6" w:rsidRDefault="00E37AC6" w:rsidP="00E37AC6">
      <w:pPr>
        <w:spacing w:after="60" w:line="276" w:lineRule="auto"/>
        <w:jc w:val="both"/>
        <w:rPr>
          <w:rFonts w:ascii="Arial Narrow" w:hAnsi="Arial Narrow" w:cs="Arial"/>
          <w:sz w:val="20"/>
          <w:szCs w:val="20"/>
        </w:rPr>
      </w:pPr>
    </w:p>
    <w:bookmarkEnd w:id="5"/>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rozporządzeniem delegowanym Komisji (UE) 2015/1076 z dnia 28 kwietnia 2015 r. ustanawiającym na mocy rozporządzenia Parlamentu Europejskiego i Rady (UE) nr 1303/2013 dodatkowe przepisy dotyczące zastąpienia beneficjenta i stosownych </w:t>
      </w:r>
      <w:r w:rsidRPr="00FF64EE">
        <w:rPr>
          <w:rFonts w:ascii="Arial Narrow" w:hAnsi="Arial Narrow" w:cs="Arial"/>
          <w:sz w:val="20"/>
          <w:szCs w:val="20"/>
        </w:rPr>
        <w:lastRenderedPageBreak/>
        <w:t>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Pr="007D40D5"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w:t>
      </w:r>
      <w:r w:rsidR="0041180F">
        <w:rPr>
          <w:rFonts w:ascii="Arial Narrow" w:hAnsi="Arial Narrow" w:cs="Arial"/>
          <w:sz w:val="20"/>
          <w:szCs w:val="20"/>
        </w:rPr>
        <w:t>III Transport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wpisać</w:t>
      </w:r>
      <w:r w:rsidR="00673598">
        <w:rPr>
          <w:rFonts w:ascii="Arial Narrow" w:hAnsi="Arial Narrow" w:cs="Arial"/>
          <w:sz w:val="20"/>
          <w:szCs w:val="20"/>
        </w:rPr>
        <w:t xml:space="preserve"> </w:t>
      </w:r>
      <w:r w:rsidR="00AA138F" w:rsidRPr="001D76E3">
        <w:rPr>
          <w:rFonts w:ascii="Arial Narrow" w:hAnsi="Arial Narrow" w:cs="Arial"/>
          <w:sz w:val="20"/>
          <w:szCs w:val="20"/>
        </w:rPr>
        <w:t>„</w:t>
      </w:r>
      <w:r w:rsidR="0041180F">
        <w:rPr>
          <w:rFonts w:ascii="Arial Narrow" w:hAnsi="Arial Narrow" w:cs="Arial"/>
          <w:sz w:val="20"/>
          <w:szCs w:val="20"/>
        </w:rPr>
        <w:t>III.2 Drogi</w:t>
      </w:r>
      <w:r w:rsidR="00AA138F" w:rsidRPr="001D76E3">
        <w:rPr>
          <w:rFonts w:ascii="Arial Narrow" w:hAnsi="Arial Narrow" w:cs="Arial"/>
          <w:sz w:val="20"/>
          <w:szCs w:val="20"/>
        </w:rPr>
        <w:t xml:space="preserve">” </w:t>
      </w:r>
    </w:p>
    <w:p w:rsidR="005A0F26" w:rsidRPr="005852E3" w:rsidRDefault="00197F39" w:rsidP="001D76E3">
      <w:pPr>
        <w:spacing w:before="120" w:line="276" w:lineRule="auto"/>
        <w:jc w:val="both"/>
        <w:rPr>
          <w:rFonts w:ascii="Arial Narrow" w:hAnsi="Arial Narrow" w:cs="Arial"/>
          <w:b/>
          <w:sz w:val="20"/>
          <w:szCs w:val="20"/>
        </w:rPr>
      </w:pPr>
      <w:r w:rsidRPr="005852E3">
        <w:rPr>
          <w:rFonts w:ascii="Arial Narrow" w:hAnsi="Arial Narrow" w:cs="Arial"/>
          <w:b/>
          <w:sz w:val="20"/>
          <w:szCs w:val="20"/>
        </w:rPr>
        <w:t>2.4. NUMER I NAZWA PODDZIAŁANIA</w:t>
      </w:r>
    </w:p>
    <w:p w:rsidR="005A0F26" w:rsidRPr="001D76E3" w:rsidRDefault="0041180F" w:rsidP="001D76E3">
      <w:pPr>
        <w:spacing w:line="276" w:lineRule="auto"/>
        <w:jc w:val="both"/>
        <w:rPr>
          <w:rFonts w:ascii="Arial Narrow" w:hAnsi="Arial Narrow" w:cs="Arial"/>
          <w:b/>
          <w:sz w:val="20"/>
          <w:szCs w:val="20"/>
          <w:u w:val="single"/>
        </w:rPr>
      </w:pPr>
      <w:r>
        <w:rPr>
          <w:rFonts w:ascii="Arial Narrow" w:hAnsi="Arial Narrow" w:cs="Arial"/>
          <w:sz w:val="20"/>
          <w:szCs w:val="20"/>
        </w:rPr>
        <w:t>Należy wpisać „III.2.2 Drogi lokalne”</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czy projekt, dla którego składany jest wniosek o dofinansowanie, jest projektem partnerskim poprzez wpisanie </w:t>
      </w:r>
      <w:r w:rsidRPr="001D76E3">
        <w:rPr>
          <w:rFonts w:ascii="Arial Narrow" w:hAnsi="Arial Narrow" w:cs="Arial"/>
          <w:sz w:val="20"/>
          <w:szCs w:val="20"/>
          <w:lang w:eastAsia="en-US"/>
        </w:rPr>
        <w:t>„</w:t>
      </w:r>
      <w:r w:rsidR="006445F6"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00696B59"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w:t>
      </w:r>
      <w:r w:rsidR="006445F6" w:rsidRPr="001D76E3">
        <w:rPr>
          <w:rFonts w:ascii="Arial Narrow" w:hAnsi="Arial Narrow" w:cs="Arial"/>
          <w:sz w:val="20"/>
          <w:szCs w:val="20"/>
          <w:lang w:eastAsia="en-US"/>
        </w:rPr>
        <w:t>y określonych w art. 33 Ustawy.</w:t>
      </w:r>
    </w:p>
    <w:p w:rsidR="00EF2B5E" w:rsidRPr="001D76E3" w:rsidRDefault="00EF2B5E" w:rsidP="001D76E3">
      <w:pPr>
        <w:spacing w:line="276" w:lineRule="auto"/>
        <w:jc w:val="both"/>
        <w:rPr>
          <w:rFonts w:ascii="Arial Narrow" w:hAnsi="Arial Narrow" w:cs="Arial"/>
          <w:sz w:val="20"/>
          <w:szCs w:val="20"/>
        </w:rPr>
      </w:pPr>
      <w:r w:rsidRPr="001D76E3">
        <w:rPr>
          <w:rFonts w:ascii="Arial Narrow" w:hAnsi="Arial Narrow" w:cs="Arial"/>
          <w:sz w:val="20"/>
          <w:szCs w:val="20"/>
          <w:lang w:eastAsia="en-US"/>
        </w:rPr>
        <w:t xml:space="preserve">Jeśli </w:t>
      </w:r>
      <w:r w:rsidRPr="001D76E3">
        <w:rPr>
          <w:rFonts w:ascii="Arial Narrow" w:hAnsi="Arial Narrow" w:cs="Arial"/>
          <w:sz w:val="20"/>
          <w:szCs w:val="20"/>
        </w:rPr>
        <w:t xml:space="preserve">projekt, dla którego składany </w:t>
      </w:r>
      <w:r w:rsidR="00696B59" w:rsidRPr="001D76E3">
        <w:rPr>
          <w:rFonts w:ascii="Arial Narrow" w:hAnsi="Arial Narrow" w:cs="Arial"/>
          <w:sz w:val="20"/>
          <w:szCs w:val="20"/>
        </w:rPr>
        <w:t xml:space="preserve">jest </w:t>
      </w:r>
      <w:r w:rsidRPr="001D76E3">
        <w:rPr>
          <w:rFonts w:ascii="Arial Narrow" w:hAnsi="Arial Narrow" w:cs="Arial"/>
          <w:sz w:val="20"/>
          <w:szCs w:val="20"/>
        </w:rPr>
        <w:t>wniosek o dofinansowanie, nie jest projektem partnerskim należy wpisać „</w:t>
      </w:r>
      <w:r w:rsidR="006445F6" w:rsidRPr="001D76E3">
        <w:rPr>
          <w:rFonts w:ascii="Arial Narrow" w:hAnsi="Arial Narrow" w:cs="Arial"/>
          <w:sz w:val="20"/>
          <w:szCs w:val="20"/>
          <w:lang w:eastAsia="en-US"/>
        </w:rPr>
        <w:t>NIE DOTYCZY</w:t>
      </w:r>
      <w:r w:rsidRPr="001D76E3">
        <w:rPr>
          <w:rFonts w:ascii="Arial Narrow" w:hAnsi="Arial Narrow" w:cs="Arial"/>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rsidR="000B43C4" w:rsidRPr="001D76E3" w:rsidRDefault="000B43C4" w:rsidP="001D76E3">
      <w:pPr>
        <w:spacing w:line="276" w:lineRule="auto"/>
        <w:jc w:val="both"/>
        <w:rPr>
          <w:rFonts w:ascii="Arial Narrow" w:hAnsi="Arial Narrow" w:cs="Arial"/>
          <w:bCs/>
          <w:sz w:val="20"/>
          <w:szCs w:val="20"/>
          <w:lang w:eastAsia="en-US"/>
        </w:rPr>
      </w:pPr>
    </w:p>
    <w:p w:rsidR="004E099A" w:rsidRPr="00245147" w:rsidRDefault="004E099A" w:rsidP="004E099A">
      <w:pPr>
        <w:spacing w:line="276" w:lineRule="auto"/>
        <w:jc w:val="both"/>
        <w:rPr>
          <w:rFonts w:ascii="Arial Narrow" w:hAnsi="Arial Narrow" w:cs="Arial"/>
          <w:bCs/>
          <w:sz w:val="20"/>
          <w:szCs w:val="20"/>
          <w:lang w:eastAsia="en-US"/>
        </w:rPr>
      </w:pPr>
      <w:r w:rsidRPr="00245147">
        <w:rPr>
          <w:rFonts w:ascii="Arial Narrow" w:hAnsi="Arial Narrow" w:cs="Arial"/>
          <w:bCs/>
          <w:sz w:val="20"/>
          <w:szCs w:val="20"/>
          <w:lang w:eastAsia="en-US"/>
        </w:rPr>
        <w:t>Kod zakresu interwencji należy wybrać dla projektu  z Tabeli 1 będącej załącznikiem I do Rozporządzenia Komisji (UE) nr 215/2014. W zakresie</w:t>
      </w:r>
      <w:r w:rsidR="00245147" w:rsidRPr="00245147">
        <w:rPr>
          <w:rFonts w:ascii="Arial Narrow" w:hAnsi="Arial Narrow" w:cs="Arial"/>
          <w:bCs/>
          <w:sz w:val="20"/>
          <w:szCs w:val="20"/>
          <w:lang w:eastAsia="en-US"/>
        </w:rPr>
        <w:t xml:space="preserve"> Działania</w:t>
      </w:r>
      <w:r w:rsidR="00CB4C7A">
        <w:rPr>
          <w:rFonts w:ascii="Arial Narrow" w:hAnsi="Arial Narrow" w:cs="Arial"/>
          <w:bCs/>
          <w:sz w:val="20"/>
          <w:szCs w:val="20"/>
          <w:lang w:eastAsia="en-US"/>
        </w:rPr>
        <w:t xml:space="preserve"> III</w:t>
      </w:r>
      <w:r w:rsidRPr="00245147">
        <w:rPr>
          <w:rFonts w:ascii="Arial Narrow" w:hAnsi="Arial Narrow" w:cs="Arial"/>
          <w:bCs/>
          <w:sz w:val="20"/>
          <w:szCs w:val="20"/>
          <w:lang w:eastAsia="en-US"/>
        </w:rPr>
        <w:t>.</w:t>
      </w:r>
      <w:r w:rsidR="00B474AF" w:rsidRPr="00245147">
        <w:rPr>
          <w:rFonts w:ascii="Arial Narrow" w:hAnsi="Arial Narrow" w:cs="Arial"/>
          <w:bCs/>
          <w:sz w:val="20"/>
          <w:szCs w:val="20"/>
          <w:lang w:eastAsia="en-US"/>
        </w:rPr>
        <w:t>2.</w:t>
      </w:r>
      <w:r w:rsidRPr="00245147">
        <w:rPr>
          <w:rFonts w:ascii="Arial Narrow" w:hAnsi="Arial Narrow" w:cs="Arial"/>
          <w:bCs/>
          <w:sz w:val="20"/>
          <w:szCs w:val="20"/>
          <w:lang w:eastAsia="en-US"/>
        </w:rPr>
        <w:t xml:space="preserve"> są możliwe do wyboru następujące kody:</w:t>
      </w:r>
    </w:p>
    <w:p w:rsidR="00201B29" w:rsidRDefault="00201B29" w:rsidP="00201B29">
      <w:pPr>
        <w:spacing w:line="276" w:lineRule="auto"/>
        <w:jc w:val="both"/>
        <w:rPr>
          <w:rFonts w:ascii="Arial Narrow" w:hAnsi="Arial Narrow"/>
          <w:sz w:val="20"/>
          <w:szCs w:val="20"/>
        </w:rPr>
      </w:pPr>
      <w:r>
        <w:rPr>
          <w:rFonts w:ascii="Arial Narrow" w:hAnsi="Arial Narrow"/>
          <w:sz w:val="20"/>
          <w:szCs w:val="20"/>
        </w:rPr>
        <w:t>030 - Drugorzędne połączenia drogowe z siecią drogową i węzłami TEN-T (nowo budo</w:t>
      </w:r>
      <w:r w:rsidRPr="00201B29">
        <w:rPr>
          <w:rFonts w:ascii="Arial Narrow" w:hAnsi="Arial Narrow"/>
          <w:sz w:val="20"/>
          <w:szCs w:val="20"/>
        </w:rPr>
        <w:t>wane)</w:t>
      </w:r>
      <w:r>
        <w:rPr>
          <w:rFonts w:ascii="Arial Narrow" w:hAnsi="Arial Narrow"/>
          <w:sz w:val="20"/>
          <w:szCs w:val="20"/>
        </w:rPr>
        <w:t>,</w:t>
      </w:r>
    </w:p>
    <w:p w:rsidR="006259D9" w:rsidRDefault="006259D9" w:rsidP="00201B29">
      <w:pPr>
        <w:spacing w:line="276" w:lineRule="auto"/>
        <w:jc w:val="both"/>
        <w:rPr>
          <w:rFonts w:ascii="Arial Narrow" w:hAnsi="Arial Narrow"/>
          <w:sz w:val="20"/>
          <w:szCs w:val="20"/>
        </w:rPr>
      </w:pPr>
      <w:r w:rsidRPr="006259D9">
        <w:rPr>
          <w:rFonts w:ascii="Arial Narrow" w:hAnsi="Arial Narrow"/>
          <w:sz w:val="20"/>
          <w:szCs w:val="20"/>
        </w:rPr>
        <w:t>031 Pozostałe drogi krajowe i regionalne (nowo budowane)</w:t>
      </w:r>
      <w:r>
        <w:rPr>
          <w:rFonts w:ascii="Arial Narrow" w:hAnsi="Arial Narrow"/>
          <w:sz w:val="20"/>
          <w:szCs w:val="20"/>
        </w:rPr>
        <w:t>,</w:t>
      </w:r>
    </w:p>
    <w:p w:rsidR="00201B29" w:rsidRDefault="00201B29" w:rsidP="00201B29">
      <w:pPr>
        <w:spacing w:line="276" w:lineRule="auto"/>
        <w:jc w:val="both"/>
        <w:rPr>
          <w:rFonts w:ascii="Arial Narrow" w:hAnsi="Arial Narrow"/>
          <w:sz w:val="20"/>
          <w:szCs w:val="20"/>
        </w:rPr>
      </w:pPr>
      <w:r w:rsidRPr="00201B29">
        <w:rPr>
          <w:rFonts w:ascii="Arial Narrow" w:hAnsi="Arial Narrow"/>
          <w:sz w:val="20"/>
          <w:szCs w:val="20"/>
        </w:rPr>
        <w:t>032</w:t>
      </w:r>
      <w:r>
        <w:rPr>
          <w:rFonts w:ascii="Arial Narrow" w:hAnsi="Arial Narrow"/>
          <w:sz w:val="20"/>
          <w:szCs w:val="20"/>
        </w:rPr>
        <w:t xml:space="preserve"> -</w:t>
      </w:r>
      <w:r w:rsidRPr="00201B29">
        <w:rPr>
          <w:rFonts w:ascii="Arial Narrow" w:hAnsi="Arial Narrow"/>
          <w:sz w:val="20"/>
          <w:szCs w:val="20"/>
        </w:rPr>
        <w:t xml:space="preserve"> Lokalne drogi dojazdowe (nowo budowane)</w:t>
      </w:r>
      <w:r>
        <w:rPr>
          <w:rFonts w:ascii="Arial Narrow" w:hAnsi="Arial Narrow"/>
          <w:sz w:val="20"/>
          <w:szCs w:val="20"/>
        </w:rPr>
        <w:t>,</w:t>
      </w:r>
    </w:p>
    <w:p w:rsidR="00201B29" w:rsidRDefault="00201B29" w:rsidP="00201B29">
      <w:pPr>
        <w:spacing w:line="276" w:lineRule="auto"/>
        <w:jc w:val="both"/>
        <w:rPr>
          <w:rFonts w:ascii="Arial Narrow" w:hAnsi="Arial Narrow"/>
          <w:sz w:val="20"/>
          <w:szCs w:val="20"/>
        </w:rPr>
      </w:pPr>
      <w:r>
        <w:rPr>
          <w:rFonts w:ascii="Arial Narrow" w:hAnsi="Arial Narrow"/>
          <w:sz w:val="20"/>
          <w:szCs w:val="20"/>
        </w:rPr>
        <w:t>034 - Inne drogi przebudowane lub zmodernizowane</w:t>
      </w:r>
      <w:r w:rsidRPr="00201B29">
        <w:rPr>
          <w:rFonts w:ascii="Arial Narrow" w:hAnsi="Arial Narrow"/>
          <w:sz w:val="20"/>
          <w:szCs w:val="20"/>
        </w:rPr>
        <w:t xml:space="preserve"> (auto</w:t>
      </w:r>
      <w:r>
        <w:rPr>
          <w:rFonts w:ascii="Arial Narrow" w:hAnsi="Arial Narrow"/>
          <w:sz w:val="20"/>
          <w:szCs w:val="20"/>
        </w:rPr>
        <w:t xml:space="preserve">strady, drogi krajowe, regionalne lub </w:t>
      </w:r>
      <w:r w:rsidRPr="00201B29">
        <w:rPr>
          <w:rFonts w:ascii="Arial Narrow" w:hAnsi="Arial Narrow"/>
          <w:sz w:val="20"/>
          <w:szCs w:val="20"/>
        </w:rPr>
        <w:t>lokalne)</w:t>
      </w:r>
      <w:r>
        <w:rPr>
          <w:rFonts w:ascii="Arial Narrow" w:hAnsi="Arial Narrow"/>
          <w:sz w:val="20"/>
          <w:szCs w:val="20"/>
        </w:rPr>
        <w:t>,</w:t>
      </w:r>
    </w:p>
    <w:p w:rsidR="00201B29" w:rsidRDefault="00201B29" w:rsidP="00201B29">
      <w:pPr>
        <w:spacing w:line="276" w:lineRule="auto"/>
        <w:jc w:val="both"/>
        <w:rPr>
          <w:rFonts w:ascii="Arial Narrow" w:hAnsi="Arial Narrow"/>
          <w:sz w:val="20"/>
          <w:szCs w:val="20"/>
        </w:rPr>
      </w:pPr>
      <w:r>
        <w:rPr>
          <w:rFonts w:ascii="Arial Narrow" w:hAnsi="Arial Narrow"/>
          <w:sz w:val="20"/>
          <w:szCs w:val="20"/>
        </w:rPr>
        <w:t>044 - Inteligentne systemy transportowe (w</w:t>
      </w:r>
      <w:r w:rsidRPr="00201B29">
        <w:rPr>
          <w:rFonts w:ascii="Arial Narrow" w:hAnsi="Arial Narrow"/>
          <w:sz w:val="20"/>
          <w:szCs w:val="20"/>
        </w:rPr>
        <w:t xml:space="preserve"> tym </w:t>
      </w:r>
      <w:r>
        <w:rPr>
          <w:rFonts w:ascii="Arial Narrow" w:hAnsi="Arial Narrow"/>
          <w:sz w:val="20"/>
          <w:szCs w:val="20"/>
        </w:rPr>
        <w:t>wprowadzenie zarządzania popytem, systemy poboru opłat, informatyczne systemy</w:t>
      </w:r>
      <w:r w:rsidRPr="00201B29">
        <w:rPr>
          <w:rFonts w:ascii="Arial Narrow" w:hAnsi="Arial Narrow"/>
          <w:sz w:val="20"/>
          <w:szCs w:val="20"/>
        </w:rPr>
        <w:t xml:space="preserve"> monit</w:t>
      </w:r>
      <w:r>
        <w:rPr>
          <w:rFonts w:ascii="Arial Narrow" w:hAnsi="Arial Narrow"/>
          <w:sz w:val="20"/>
          <w:szCs w:val="20"/>
        </w:rPr>
        <w:t>orowania, kontroli i informa</w:t>
      </w:r>
      <w:r w:rsidRPr="00201B29">
        <w:rPr>
          <w:rFonts w:ascii="Arial Narrow" w:hAnsi="Arial Narrow"/>
          <w:sz w:val="20"/>
          <w:szCs w:val="20"/>
        </w:rPr>
        <w:t>cji)</w:t>
      </w:r>
    </w:p>
    <w:p w:rsidR="00245147" w:rsidRDefault="006A7EAC" w:rsidP="006A7EAC">
      <w:pPr>
        <w:spacing w:line="276" w:lineRule="auto"/>
        <w:jc w:val="both"/>
        <w:rPr>
          <w:rFonts w:ascii="Arial Narrow" w:hAnsi="Arial Narrow"/>
          <w:sz w:val="20"/>
          <w:szCs w:val="20"/>
        </w:rPr>
      </w:pPr>
      <w:r>
        <w:rPr>
          <w:rFonts w:ascii="Arial Narrow" w:hAnsi="Arial Narrow"/>
          <w:sz w:val="20"/>
          <w:szCs w:val="20"/>
        </w:rPr>
        <w:t xml:space="preserve">101 Finansowanie krzyżowe w </w:t>
      </w:r>
      <w:r w:rsidRPr="006A7EAC">
        <w:rPr>
          <w:rFonts w:ascii="Arial Narrow" w:hAnsi="Arial Narrow"/>
          <w:sz w:val="20"/>
          <w:szCs w:val="20"/>
        </w:rPr>
        <w:t>ramach</w:t>
      </w:r>
      <w:r>
        <w:rPr>
          <w:rFonts w:ascii="Arial Narrow" w:hAnsi="Arial Narrow"/>
          <w:sz w:val="20"/>
          <w:szCs w:val="20"/>
        </w:rPr>
        <w:t xml:space="preserve"> EFRR (wsparcie dla przedsięwzięć typowych </w:t>
      </w:r>
      <w:r w:rsidRPr="006A7EAC">
        <w:rPr>
          <w:rFonts w:ascii="Arial Narrow" w:hAnsi="Arial Narrow"/>
          <w:sz w:val="20"/>
          <w:szCs w:val="20"/>
        </w:rPr>
        <w:t>dl</w:t>
      </w:r>
      <w:r>
        <w:rPr>
          <w:rFonts w:ascii="Arial Narrow" w:hAnsi="Arial Narrow"/>
          <w:sz w:val="20"/>
          <w:szCs w:val="20"/>
        </w:rPr>
        <w:t>a EFS, koniecznych dla zadowalającego wdrożenia części przedsięwzięć związanej bezpośrednio z</w:t>
      </w:r>
      <w:r w:rsidRPr="006A7EAC">
        <w:rPr>
          <w:rFonts w:ascii="Arial Narrow" w:hAnsi="Arial Narrow"/>
          <w:sz w:val="20"/>
          <w:szCs w:val="20"/>
        </w:rPr>
        <w:t xml:space="preserve"> EFRR)</w:t>
      </w:r>
    </w:p>
    <w:p w:rsidR="006A7EAC" w:rsidRPr="006A7EAC" w:rsidRDefault="006A7EAC" w:rsidP="006A7EAC">
      <w:pPr>
        <w:spacing w:line="276" w:lineRule="auto"/>
        <w:jc w:val="both"/>
        <w:rPr>
          <w:rFonts w:ascii="Arial Narrow" w:hAnsi="Arial Narrow"/>
          <w:sz w:val="20"/>
          <w:szCs w:val="20"/>
        </w:rPr>
      </w:pPr>
    </w:p>
    <w:p w:rsidR="005A0F26" w:rsidRPr="00245147" w:rsidRDefault="00275A13" w:rsidP="001D76E3">
      <w:pPr>
        <w:spacing w:line="276" w:lineRule="auto"/>
        <w:jc w:val="both"/>
        <w:rPr>
          <w:rFonts w:ascii="Arial Narrow" w:hAnsi="Arial Narrow" w:cs="Arial"/>
          <w:sz w:val="20"/>
          <w:szCs w:val="20"/>
        </w:rPr>
      </w:pPr>
      <w:r w:rsidRPr="00245147">
        <w:rPr>
          <w:rFonts w:ascii="Arial Narrow" w:hAnsi="Arial Narrow" w:cs="Arial"/>
          <w:sz w:val="20"/>
          <w:szCs w:val="20"/>
          <w:u w:val="single"/>
        </w:rPr>
        <w:t>Kod</w:t>
      </w:r>
      <w:r w:rsidR="005A0F26" w:rsidRPr="00245147">
        <w:rPr>
          <w:rFonts w:ascii="Arial Narrow" w:hAnsi="Arial Narrow" w:cs="Arial"/>
          <w:sz w:val="20"/>
          <w:szCs w:val="20"/>
          <w:u w:val="single"/>
        </w:rPr>
        <w:t xml:space="preserve"> formy finansowania</w:t>
      </w:r>
      <w:r w:rsidR="005A0F26" w:rsidRPr="00245147">
        <w:rPr>
          <w:rFonts w:ascii="Arial Narrow" w:hAnsi="Arial Narrow" w:cs="Arial"/>
          <w:sz w:val="20"/>
          <w:szCs w:val="20"/>
        </w:rPr>
        <w:t xml:space="preserve"> </w:t>
      </w:r>
      <w:r w:rsidRPr="00245147">
        <w:rPr>
          <w:rFonts w:ascii="Arial Narrow" w:hAnsi="Arial Narrow" w:cs="Arial"/>
          <w:sz w:val="20"/>
          <w:szCs w:val="20"/>
        </w:rPr>
        <w:t>należy uzupełnić zgodnie z Tabelą 2</w:t>
      </w:r>
      <w:r w:rsidR="00466365" w:rsidRPr="00245147">
        <w:rPr>
          <w:rFonts w:ascii="Arial Narrow" w:hAnsi="Arial Narrow" w:cs="Arial"/>
          <w:sz w:val="20"/>
          <w:szCs w:val="20"/>
        </w:rPr>
        <w:t xml:space="preserve"> załącznika I Rozporządzenia Komisji (UE)</w:t>
      </w:r>
      <w:r w:rsidR="00A565B3" w:rsidRPr="00245147">
        <w:rPr>
          <w:rFonts w:ascii="Arial Narrow" w:hAnsi="Arial Narrow" w:cs="Arial"/>
          <w:sz w:val="20"/>
          <w:szCs w:val="20"/>
        </w:rPr>
        <w:t xml:space="preserve"> nr 215/2014, tj. </w:t>
      </w:r>
      <w:r w:rsidR="006445F6" w:rsidRPr="00245147">
        <w:rPr>
          <w:rFonts w:ascii="Arial Narrow" w:hAnsi="Arial Narrow" w:cs="Arial"/>
          <w:sz w:val="20"/>
          <w:szCs w:val="20"/>
        </w:rPr>
        <w:t>poprzez wpisanie „</w:t>
      </w:r>
      <w:r w:rsidR="005A0F26" w:rsidRPr="00245147">
        <w:rPr>
          <w:rFonts w:ascii="Arial Narrow" w:hAnsi="Arial Narrow" w:cs="Arial"/>
          <w:sz w:val="20"/>
          <w:szCs w:val="20"/>
        </w:rPr>
        <w:t>kod 01 – dotacja bezzwrotna</w:t>
      </w:r>
      <w:r w:rsidR="006445F6" w:rsidRPr="00245147">
        <w:rPr>
          <w:rFonts w:ascii="Arial Narrow" w:hAnsi="Arial Narrow" w:cs="Arial"/>
          <w:sz w:val="20"/>
          <w:szCs w:val="20"/>
        </w:rPr>
        <w:t>”</w:t>
      </w:r>
      <w:r w:rsidR="005A0F26" w:rsidRPr="00245147">
        <w:rPr>
          <w:rFonts w:ascii="Arial Narrow" w:hAnsi="Arial Narrow" w:cs="Arial"/>
          <w:sz w:val="20"/>
          <w:szCs w:val="20"/>
        </w:rPr>
        <w:t xml:space="preserve"> </w:t>
      </w:r>
    </w:p>
    <w:p w:rsidR="00EF2B5E" w:rsidRPr="00245147" w:rsidRDefault="00EF2B5E" w:rsidP="001D76E3">
      <w:pPr>
        <w:tabs>
          <w:tab w:val="left" w:pos="360"/>
        </w:tabs>
        <w:spacing w:line="276" w:lineRule="auto"/>
        <w:jc w:val="both"/>
        <w:rPr>
          <w:rFonts w:ascii="Arial Narrow" w:hAnsi="Arial Narrow" w:cs="Arial"/>
          <w:b/>
          <w:sz w:val="20"/>
          <w:szCs w:val="20"/>
        </w:rPr>
      </w:pPr>
    </w:p>
    <w:p w:rsidR="00466365" w:rsidRPr="00245147" w:rsidRDefault="00466365" w:rsidP="001D76E3">
      <w:pPr>
        <w:spacing w:line="276" w:lineRule="auto"/>
        <w:jc w:val="both"/>
        <w:rPr>
          <w:rFonts w:ascii="Arial Narrow" w:hAnsi="Arial Narrow" w:cs="Arial"/>
          <w:sz w:val="20"/>
          <w:szCs w:val="20"/>
        </w:rPr>
      </w:pPr>
      <w:r w:rsidRPr="00245147">
        <w:rPr>
          <w:rFonts w:ascii="Arial Narrow" w:hAnsi="Arial Narrow" w:cs="Arial"/>
          <w:sz w:val="20"/>
          <w:szCs w:val="20"/>
        </w:rPr>
        <w:t xml:space="preserve">W </w:t>
      </w:r>
      <w:r w:rsidR="005A0F26" w:rsidRPr="00245147">
        <w:rPr>
          <w:rFonts w:ascii="Arial Narrow" w:hAnsi="Arial Narrow" w:cs="Arial"/>
          <w:sz w:val="20"/>
          <w:szCs w:val="20"/>
        </w:rPr>
        <w:t xml:space="preserve">odniesieniu </w:t>
      </w:r>
      <w:r w:rsidR="00EF393E" w:rsidRPr="00245147">
        <w:rPr>
          <w:rFonts w:ascii="Arial Narrow" w:hAnsi="Arial Narrow" w:cs="Arial"/>
          <w:sz w:val="20"/>
          <w:szCs w:val="20"/>
        </w:rPr>
        <w:t xml:space="preserve">do </w:t>
      </w:r>
      <w:r w:rsidR="00EF393E" w:rsidRPr="00245147">
        <w:rPr>
          <w:rFonts w:ascii="Arial Narrow" w:hAnsi="Arial Narrow" w:cs="Arial"/>
          <w:sz w:val="20"/>
          <w:szCs w:val="20"/>
          <w:u w:val="single"/>
        </w:rPr>
        <w:t>rodzaju</w:t>
      </w:r>
      <w:r w:rsidR="005A0F26" w:rsidRPr="00245147">
        <w:rPr>
          <w:rFonts w:ascii="Arial Narrow" w:hAnsi="Arial Narrow" w:cs="Arial"/>
          <w:sz w:val="20"/>
          <w:szCs w:val="20"/>
          <w:u w:val="single"/>
        </w:rPr>
        <w:t xml:space="preserve"> działalności gospodarczej</w:t>
      </w:r>
      <w:r w:rsidR="005A0F26" w:rsidRPr="00245147">
        <w:rPr>
          <w:rFonts w:ascii="Arial Narrow" w:hAnsi="Arial Narrow" w:cs="Arial"/>
          <w:sz w:val="20"/>
          <w:szCs w:val="20"/>
        </w:rPr>
        <w:t xml:space="preserve"> </w:t>
      </w:r>
      <w:r w:rsidRPr="00245147">
        <w:rPr>
          <w:rFonts w:ascii="Arial Narrow" w:hAnsi="Arial Narrow" w:cs="Arial"/>
          <w:sz w:val="20"/>
          <w:szCs w:val="20"/>
        </w:rPr>
        <w:t>kod należy uzupełnić zgodnie z tabelą 7 załącznika I Rozporządzenia Komisji (UE) nr 215/2014.</w:t>
      </w:r>
    </w:p>
    <w:p w:rsidR="005A0F26" w:rsidRPr="00245147" w:rsidRDefault="005A0F26" w:rsidP="001D76E3">
      <w:pPr>
        <w:tabs>
          <w:tab w:val="left" w:pos="360"/>
        </w:tabs>
        <w:spacing w:line="276" w:lineRule="auto"/>
        <w:jc w:val="both"/>
        <w:rPr>
          <w:rFonts w:ascii="Arial Narrow" w:hAnsi="Arial Narrow" w:cs="Arial"/>
          <w:sz w:val="20"/>
          <w:szCs w:val="20"/>
        </w:rPr>
      </w:pPr>
    </w:p>
    <w:p w:rsidR="00466365" w:rsidRPr="00245147" w:rsidRDefault="00466365" w:rsidP="001D76E3">
      <w:pPr>
        <w:spacing w:line="276" w:lineRule="auto"/>
        <w:jc w:val="both"/>
        <w:rPr>
          <w:rFonts w:ascii="Arial Narrow" w:hAnsi="Arial Narrow" w:cs="Arial"/>
          <w:sz w:val="20"/>
          <w:szCs w:val="20"/>
        </w:rPr>
      </w:pPr>
      <w:r w:rsidRPr="00245147">
        <w:rPr>
          <w:rFonts w:ascii="Arial Narrow" w:hAnsi="Arial Narrow" w:cs="Arial"/>
          <w:sz w:val="20"/>
          <w:szCs w:val="20"/>
        </w:rPr>
        <w:t xml:space="preserve">W </w:t>
      </w:r>
      <w:r w:rsidR="005A0F26" w:rsidRPr="00245147">
        <w:rPr>
          <w:rFonts w:ascii="Arial Narrow" w:hAnsi="Arial Narrow" w:cs="Arial"/>
          <w:sz w:val="20"/>
          <w:szCs w:val="20"/>
        </w:rPr>
        <w:t xml:space="preserve">odniesieniu do </w:t>
      </w:r>
      <w:r w:rsidR="005A0F26" w:rsidRPr="00245147">
        <w:rPr>
          <w:rFonts w:ascii="Arial Narrow" w:hAnsi="Arial Narrow" w:cs="Arial"/>
          <w:sz w:val="20"/>
          <w:szCs w:val="20"/>
          <w:u w:val="single"/>
        </w:rPr>
        <w:t xml:space="preserve">typu obszaru </w:t>
      </w:r>
      <w:r w:rsidRPr="00245147">
        <w:rPr>
          <w:rFonts w:ascii="Arial Narrow" w:hAnsi="Arial Narrow" w:cs="Arial"/>
          <w:sz w:val="20"/>
          <w:szCs w:val="20"/>
          <w:u w:val="single"/>
        </w:rPr>
        <w:t>realizacji</w:t>
      </w:r>
      <w:r w:rsidRPr="00245147">
        <w:rPr>
          <w:rFonts w:ascii="Arial Narrow" w:hAnsi="Arial Narrow" w:cs="Arial"/>
          <w:sz w:val="20"/>
          <w:szCs w:val="20"/>
        </w:rPr>
        <w:t xml:space="preserve"> kod należy uzupełnić zgodnie z tabelą 3 załącznika I Rozporządzenia Komisji (UE) nr 215/2014:</w:t>
      </w:r>
    </w:p>
    <w:p w:rsidR="005A0F26" w:rsidRPr="00245147" w:rsidRDefault="005A0F26" w:rsidP="001D76E3">
      <w:pPr>
        <w:tabs>
          <w:tab w:val="left" w:pos="360"/>
        </w:tabs>
        <w:spacing w:line="276" w:lineRule="auto"/>
        <w:jc w:val="both"/>
        <w:rPr>
          <w:rFonts w:ascii="Arial Narrow" w:hAnsi="Arial Narrow" w:cs="Arial"/>
          <w:sz w:val="20"/>
          <w:szCs w:val="20"/>
        </w:rPr>
      </w:pPr>
      <w:r w:rsidRPr="00245147">
        <w:rPr>
          <w:rFonts w:ascii="Arial Narrow" w:hAnsi="Arial Narrow" w:cs="Arial"/>
          <w:sz w:val="20"/>
          <w:szCs w:val="20"/>
        </w:rPr>
        <w:t>kod 01 –</w:t>
      </w:r>
      <w:r w:rsidR="00C7446E" w:rsidRPr="00245147">
        <w:rPr>
          <w:rFonts w:ascii="Arial Narrow" w:hAnsi="Arial Narrow" w:cs="Arial"/>
          <w:sz w:val="20"/>
          <w:szCs w:val="20"/>
        </w:rPr>
        <w:t xml:space="preserve"> </w:t>
      </w:r>
      <w:r w:rsidRPr="00245147">
        <w:rPr>
          <w:rFonts w:ascii="Arial Narrow" w:hAnsi="Arial Narrow" w:cs="Arial"/>
          <w:sz w:val="20"/>
          <w:szCs w:val="20"/>
        </w:rPr>
        <w:t>duże obszary miejskie (o ludności &gt; 50</w:t>
      </w:r>
      <w:r w:rsidR="00466365" w:rsidRPr="00245147">
        <w:rPr>
          <w:rFonts w:ascii="Arial Narrow" w:hAnsi="Arial Narrow" w:cs="Arial"/>
          <w:sz w:val="20"/>
          <w:szCs w:val="20"/>
        </w:rPr>
        <w:t xml:space="preserve"> </w:t>
      </w:r>
      <w:r w:rsidRPr="00245147">
        <w:rPr>
          <w:rFonts w:ascii="Arial Narrow" w:hAnsi="Arial Narrow" w:cs="Arial"/>
          <w:sz w:val="20"/>
          <w:szCs w:val="20"/>
        </w:rPr>
        <w:t>000 i dużej gęstości zaludnienia)</w:t>
      </w:r>
    </w:p>
    <w:p w:rsidR="005A0F26" w:rsidRPr="00245147" w:rsidRDefault="005A0F26" w:rsidP="001D76E3">
      <w:pPr>
        <w:spacing w:line="276" w:lineRule="auto"/>
        <w:jc w:val="both"/>
        <w:rPr>
          <w:rFonts w:ascii="Arial Narrow" w:hAnsi="Arial Narrow" w:cs="Arial"/>
          <w:sz w:val="20"/>
          <w:szCs w:val="20"/>
        </w:rPr>
      </w:pPr>
      <w:r w:rsidRPr="00245147">
        <w:rPr>
          <w:rFonts w:ascii="Arial Narrow" w:hAnsi="Arial Narrow" w:cs="Arial"/>
          <w:sz w:val="20"/>
          <w:szCs w:val="20"/>
        </w:rPr>
        <w:t>kod 02 –</w:t>
      </w:r>
      <w:r w:rsidR="00C7446E" w:rsidRPr="00245147">
        <w:rPr>
          <w:rFonts w:ascii="Arial Narrow" w:hAnsi="Arial Narrow" w:cs="Arial"/>
          <w:sz w:val="20"/>
          <w:szCs w:val="20"/>
        </w:rPr>
        <w:t xml:space="preserve"> </w:t>
      </w:r>
      <w:r w:rsidRPr="00245147">
        <w:rPr>
          <w:rFonts w:ascii="Arial Narrow" w:hAnsi="Arial Narrow" w:cs="Arial"/>
          <w:sz w:val="20"/>
          <w:szCs w:val="20"/>
        </w:rPr>
        <w:t>małe obszary miejskie (o ludności &gt; 5</w:t>
      </w:r>
      <w:r w:rsidR="00466365" w:rsidRPr="00245147">
        <w:rPr>
          <w:rFonts w:ascii="Arial Narrow" w:hAnsi="Arial Narrow" w:cs="Arial"/>
          <w:sz w:val="20"/>
          <w:szCs w:val="20"/>
        </w:rPr>
        <w:t xml:space="preserve"> </w:t>
      </w:r>
      <w:r w:rsidRPr="00245147">
        <w:rPr>
          <w:rFonts w:ascii="Arial Narrow" w:hAnsi="Arial Narrow" w:cs="Arial"/>
          <w:sz w:val="20"/>
          <w:szCs w:val="20"/>
        </w:rPr>
        <w:t>000 i średniej gęstości zaludnienia)</w:t>
      </w:r>
    </w:p>
    <w:p w:rsidR="00C7446E" w:rsidRPr="00245147" w:rsidRDefault="005A0F26" w:rsidP="001D76E3">
      <w:pPr>
        <w:spacing w:line="276" w:lineRule="auto"/>
        <w:jc w:val="both"/>
        <w:rPr>
          <w:rFonts w:ascii="Arial Narrow" w:hAnsi="Arial Narrow" w:cs="Arial"/>
          <w:sz w:val="20"/>
          <w:szCs w:val="20"/>
        </w:rPr>
      </w:pPr>
      <w:r w:rsidRPr="00245147">
        <w:rPr>
          <w:rFonts w:ascii="Arial Narrow" w:hAnsi="Arial Narrow" w:cs="Arial"/>
          <w:sz w:val="20"/>
          <w:szCs w:val="20"/>
        </w:rPr>
        <w:t>kod 03</w:t>
      </w:r>
      <w:r w:rsidR="00C7446E" w:rsidRPr="00245147">
        <w:rPr>
          <w:rFonts w:ascii="Arial Narrow" w:hAnsi="Arial Narrow" w:cs="Arial"/>
          <w:sz w:val="20"/>
          <w:szCs w:val="20"/>
        </w:rPr>
        <w:t xml:space="preserve"> - </w:t>
      </w:r>
      <w:r w:rsidRPr="00245147">
        <w:rPr>
          <w:rFonts w:ascii="Arial Narrow" w:hAnsi="Arial Narrow" w:cs="Arial"/>
          <w:sz w:val="20"/>
          <w:szCs w:val="20"/>
        </w:rPr>
        <w:t>obszary wiejskie (o małej gęstości zaludnienia)</w:t>
      </w:r>
    </w:p>
    <w:p w:rsidR="00EF2B5E" w:rsidRDefault="00EF2B5E" w:rsidP="001D76E3">
      <w:pPr>
        <w:spacing w:line="276" w:lineRule="auto"/>
        <w:jc w:val="both"/>
        <w:rPr>
          <w:rFonts w:ascii="Arial Narrow" w:hAnsi="Arial Narrow" w:cs="Arial"/>
          <w:sz w:val="20"/>
          <w:szCs w:val="20"/>
        </w:rPr>
      </w:pPr>
    </w:p>
    <w:p w:rsidR="00245147" w:rsidRPr="001D76E3" w:rsidRDefault="00245147"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rsidR="002D0A6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E40266" w:rsidRPr="00E40266" w:rsidRDefault="00E40266" w:rsidP="00E40266">
      <w:pPr>
        <w:spacing w:after="120"/>
        <w:rPr>
          <w:rFonts w:ascii="Arial Narrow" w:hAnsi="Arial Narrow"/>
          <w:b/>
          <w:smallCaps/>
          <w:sz w:val="20"/>
          <w:szCs w:val="20"/>
        </w:rPr>
      </w:pPr>
      <w:r w:rsidRPr="00E40266">
        <w:rPr>
          <w:rFonts w:ascii="Arial Narrow" w:hAnsi="Arial Narrow" w:cs="Tahoma"/>
          <w:sz w:val="20"/>
          <w:szCs w:val="20"/>
        </w:rPr>
        <w:t xml:space="preserve">Wnioskodawca określa możliwość odzyskania VAT poprzez postawienie znaku </w:t>
      </w:r>
      <w:r w:rsidRPr="00E40266">
        <w:rPr>
          <w:rFonts w:ascii="Arial Narrow" w:hAnsi="Arial Narrow"/>
          <w:sz w:val="20"/>
          <w:szCs w:val="20"/>
        </w:rPr>
        <w:t xml:space="preserve">„x” w odpowiedniej rubryce (TAK / NIE / CZĘŚCIOWO). Odpowiedz „TAK ” oznacza, że VAT jest niekwalifikowalny.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D80034" w:rsidRDefault="00E40266" w:rsidP="005C4DF5">
      <w:pPr>
        <w:autoSpaceDE w:val="0"/>
        <w:autoSpaceDN w:val="0"/>
        <w:adjustRightInd w:val="0"/>
        <w:rPr>
          <w:rFonts w:ascii="Arial Narrow" w:hAnsi="Arial Narrow"/>
          <w:b/>
          <w:sz w:val="20"/>
          <w:szCs w:val="20"/>
          <w:u w:val="single"/>
        </w:rPr>
      </w:pPr>
      <w:r w:rsidRPr="00E40266">
        <w:rPr>
          <w:rFonts w:ascii="Arial Narrow" w:hAnsi="Arial Narrow"/>
          <w:sz w:val="20"/>
          <w:szCs w:val="20"/>
        </w:rPr>
        <w:t>Należy wskazać uzasadnienie wybranej opcji.</w:t>
      </w:r>
    </w:p>
    <w:p w:rsidR="00E40266" w:rsidRDefault="00E40266" w:rsidP="005C4DF5">
      <w:pPr>
        <w:autoSpaceDE w:val="0"/>
        <w:autoSpaceDN w:val="0"/>
        <w:adjustRightInd w:val="0"/>
        <w:rPr>
          <w:rFonts w:ascii="Arial Narrow" w:hAnsi="Arial Narrow"/>
          <w:b/>
          <w:sz w:val="20"/>
          <w:szCs w:val="20"/>
          <w:u w:val="single"/>
        </w:rPr>
      </w:pPr>
    </w:p>
    <w:p w:rsidR="00E40266" w:rsidRDefault="00E40266" w:rsidP="005C4DF5">
      <w:pPr>
        <w:autoSpaceDE w:val="0"/>
        <w:autoSpaceDN w:val="0"/>
        <w:adjustRightInd w:val="0"/>
        <w:rPr>
          <w:rFonts w:ascii="Arial Narrow" w:hAnsi="Arial Narrow"/>
          <w:b/>
          <w:sz w:val="20"/>
          <w:szCs w:val="20"/>
          <w:u w:val="single"/>
        </w:rPr>
      </w:pPr>
    </w:p>
    <w:p w:rsidR="00E40266" w:rsidRPr="00E40266" w:rsidRDefault="00E40266" w:rsidP="005C4DF5">
      <w:pPr>
        <w:autoSpaceDE w:val="0"/>
        <w:autoSpaceDN w:val="0"/>
        <w:adjustRightInd w:val="0"/>
        <w:rPr>
          <w:rFonts w:ascii="Arial Narrow" w:hAnsi="Arial Narrow"/>
          <w:b/>
          <w:sz w:val="20"/>
          <w:szCs w:val="20"/>
          <w:u w:val="single"/>
        </w:rPr>
      </w:pP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lastRenderedPageBreak/>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855E11" w:rsidRPr="001D76E3" w:rsidRDefault="00855E11" w:rsidP="001D76E3">
      <w:pPr>
        <w:spacing w:line="276" w:lineRule="auto"/>
        <w:jc w:val="both"/>
        <w:rPr>
          <w:rFonts w:ascii="Arial Narrow" w:hAnsi="Arial Narrow" w:cs="Arial"/>
          <w:sz w:val="20"/>
          <w:szCs w:val="20"/>
        </w:rPr>
      </w:pPr>
    </w:p>
    <w:p w:rsidR="005C4DF5" w:rsidRDefault="00597543" w:rsidP="001D76E3">
      <w:pPr>
        <w:spacing w:line="276" w:lineRule="auto"/>
        <w:jc w:val="both"/>
        <w:rPr>
          <w:rFonts w:ascii="Arial Narrow" w:hAnsi="Arial Narrow" w:cs="Arial"/>
          <w:sz w:val="20"/>
          <w:szCs w:val="20"/>
        </w:rPr>
      </w:pPr>
      <w:r w:rsidRPr="00597543">
        <w:rPr>
          <w:rFonts w:ascii="Arial Narrow" w:hAnsi="Arial Narrow" w:cs="Arial"/>
          <w:sz w:val="20"/>
          <w:szCs w:val="20"/>
        </w:rPr>
        <w:t>Jeżeli partnerzy starają się o możliwość odzyskania VAT należy określić to poprzez postawienie znaku „x” w odpowiedniej rubryce (TAK / NIE / CZĘŚCIOWO) oraz podać uzasadnienie dla kwalifikowalności VAT.</w:t>
      </w:r>
    </w:p>
    <w:p w:rsidR="00597543" w:rsidRPr="001D76E3" w:rsidRDefault="00597543" w:rsidP="001D76E3">
      <w:pPr>
        <w:spacing w:line="276" w:lineRule="auto"/>
        <w:jc w:val="both"/>
        <w:rPr>
          <w:rFonts w:ascii="Arial Narrow" w:hAnsi="Arial Narrow" w:cs="Arial"/>
          <w:sz w:val="20"/>
          <w:szCs w:val="20"/>
        </w:rPr>
      </w:pP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855E11"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5C4DF5" w:rsidRPr="001D76E3" w:rsidRDefault="005C4DF5" w:rsidP="001D76E3">
      <w:pPr>
        <w:spacing w:line="276" w:lineRule="auto"/>
        <w:jc w:val="both"/>
        <w:rPr>
          <w:rFonts w:ascii="Arial Narrow" w:hAnsi="Arial Narrow" w:cs="Arial"/>
          <w:sz w:val="20"/>
          <w:szCs w:val="20"/>
        </w:rPr>
      </w:pPr>
    </w:p>
    <w:p w:rsidR="005C4DF5" w:rsidRDefault="00597543" w:rsidP="001D76E3">
      <w:pPr>
        <w:spacing w:line="276" w:lineRule="auto"/>
        <w:jc w:val="both"/>
        <w:rPr>
          <w:rFonts w:ascii="Arial Narrow" w:hAnsi="Arial Narrow" w:cs="Arial"/>
          <w:sz w:val="20"/>
          <w:szCs w:val="20"/>
        </w:rPr>
      </w:pPr>
      <w:r w:rsidRPr="00597543">
        <w:rPr>
          <w:rFonts w:ascii="Arial Narrow" w:hAnsi="Arial Narrow" w:cs="Arial"/>
          <w:sz w:val="20"/>
          <w:szCs w:val="20"/>
        </w:rPr>
        <w:t>Jeżeli partnerzy starają się o możliwość odzyskania VAT należy określić to poprzez postawienie znaku „x” w odpowiedniej rubryce (TAK / NIE / CZĘŚCIOWO) oraz podać uzasadnienie dla kwalifikowalności VAT.</w:t>
      </w:r>
    </w:p>
    <w:p w:rsidR="00597543" w:rsidRPr="001D76E3" w:rsidRDefault="00597543" w:rsidP="001D76E3">
      <w:pPr>
        <w:spacing w:line="276" w:lineRule="auto"/>
        <w:jc w:val="both"/>
        <w:rPr>
          <w:rFonts w:ascii="Arial Narrow" w:hAnsi="Arial Narrow" w:cs="Arial"/>
          <w:sz w:val="20"/>
          <w:szCs w:val="20"/>
        </w:rPr>
      </w:pPr>
    </w:p>
    <w:p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rsidR="00075C16" w:rsidRDefault="00075C16" w:rsidP="001D76E3">
      <w:pPr>
        <w:spacing w:line="276" w:lineRule="auto"/>
        <w:jc w:val="both"/>
        <w:rPr>
          <w:rFonts w:ascii="Arial Narrow" w:hAnsi="Arial Narrow" w:cs="Arial"/>
          <w:sz w:val="20"/>
          <w:szCs w:val="20"/>
        </w:rPr>
      </w:pPr>
    </w:p>
    <w:p w:rsidR="00075C16" w:rsidRPr="001D76E3" w:rsidRDefault="00075C16"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5A0F26" w:rsidRPr="001D76E3" w:rsidRDefault="005A0F26" w:rsidP="001D76E3">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D937AD">
        <w:rPr>
          <w:rFonts w:ascii="Arial Narrow" w:hAnsi="Arial Narrow" w:cs="Arial"/>
          <w:b w:val="0"/>
          <w:color w:val="auto"/>
          <w:sz w:val="20"/>
          <w:szCs w:val="20"/>
        </w:rPr>
        <w:t>Poddziałania III</w:t>
      </w:r>
      <w:r w:rsidR="00A260D1">
        <w:rPr>
          <w:rFonts w:ascii="Arial Narrow" w:hAnsi="Arial Narrow" w:cs="Arial"/>
          <w:b w:val="0"/>
          <w:color w:val="auto"/>
          <w:sz w:val="20"/>
          <w:szCs w:val="20"/>
        </w:rPr>
        <w:t>.2</w:t>
      </w:r>
      <w:r w:rsidR="00D937AD">
        <w:rPr>
          <w:rFonts w:ascii="Arial Narrow" w:hAnsi="Arial Narrow" w:cs="Arial"/>
          <w:b w:val="0"/>
          <w:color w:val="auto"/>
          <w:sz w:val="20"/>
          <w:szCs w:val="20"/>
        </w:rPr>
        <w:t>.2</w:t>
      </w:r>
      <w:r w:rsidR="00A260D1">
        <w:rPr>
          <w:rFonts w:ascii="Arial Narrow" w:hAnsi="Arial Narrow" w:cs="Arial"/>
          <w:b w:val="0"/>
          <w:color w:val="auto"/>
          <w:sz w:val="20"/>
          <w:szCs w:val="20"/>
        </w:rPr>
        <w:t xml:space="preserve"> </w:t>
      </w:r>
      <w:r w:rsidR="00D937AD">
        <w:rPr>
          <w:rFonts w:ascii="Arial Narrow" w:hAnsi="Arial Narrow" w:cs="Arial"/>
          <w:b w:val="0"/>
          <w:color w:val="auto"/>
          <w:sz w:val="20"/>
          <w:szCs w:val="20"/>
        </w:rPr>
        <w:t xml:space="preserve">Drogi lokalne </w:t>
      </w:r>
      <w:r w:rsidRPr="001D76E3">
        <w:rPr>
          <w:rFonts w:ascii="Arial Narrow" w:hAnsi="Arial Narrow" w:cs="Arial"/>
          <w:b w:val="0"/>
          <w:color w:val="auto"/>
          <w:sz w:val="20"/>
          <w:szCs w:val="20"/>
        </w:rPr>
        <w:t xml:space="preserve">Szczegółowego Opisu Osi Priorytetowych Regionalnego Programu Operacyjnego </w:t>
      </w:r>
      <w:bookmarkStart w:id="19" w:name="_Toc416444998"/>
      <w:r w:rsidRPr="001D76E3">
        <w:rPr>
          <w:rFonts w:ascii="Arial Narrow" w:hAnsi="Arial Narrow" w:cs="Arial"/>
          <w:b w:val="0"/>
          <w:color w:val="auto"/>
          <w:sz w:val="20"/>
          <w:szCs w:val="20"/>
        </w:rPr>
        <w:t>Województwa Łódzkiego na lata 2014-2020</w:t>
      </w:r>
      <w:bookmarkEnd w:id="19"/>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lastRenderedPageBreak/>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Default="00197F39" w:rsidP="00AA5041">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rsidR="00AA5041" w:rsidRDefault="00AA5041" w:rsidP="00AA5041">
      <w:pPr>
        <w:spacing w:line="276" w:lineRule="auto"/>
        <w:jc w:val="both"/>
        <w:rPr>
          <w:rFonts w:ascii="Arial Narrow" w:hAnsi="Arial Narrow"/>
          <w:sz w:val="20"/>
          <w:szCs w:val="20"/>
        </w:rPr>
      </w:pPr>
      <w:r>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rsidR="00AA5041" w:rsidRDefault="00AA5041" w:rsidP="00AA5041">
      <w:pPr>
        <w:spacing w:line="276" w:lineRule="auto"/>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kwestii realizacji polityki równych szans. Wnioskodawca ma do wyboru pozytywny,</w:t>
      </w:r>
      <w:r w:rsidRPr="00AA5041">
        <w:rPr>
          <w:rFonts w:ascii="Arial Narrow" w:hAnsi="Arial Narrow"/>
          <w:sz w:val="20"/>
          <w:szCs w:val="20"/>
        </w:rPr>
        <w:t xml:space="preserve"> </w:t>
      </w:r>
      <w:r>
        <w:rPr>
          <w:rFonts w:ascii="Arial Narrow" w:hAnsi="Arial Narrow"/>
          <w:sz w:val="20"/>
          <w:szCs w:val="20"/>
        </w:rPr>
        <w:t>neutralny lub negatywny charakter projektu pod względem równych szans kobiet i mężczyzn.</w:t>
      </w:r>
      <w:r w:rsidRPr="00AA5041">
        <w:rPr>
          <w:rFonts w:ascii="Arial Narrow" w:hAnsi="Arial Narrow"/>
          <w:sz w:val="20"/>
          <w:szCs w:val="20"/>
        </w:rPr>
        <w:t xml:space="preserve"> </w:t>
      </w:r>
      <w:r>
        <w:rPr>
          <w:rFonts w:ascii="Arial Narrow" w:hAnsi="Arial Narrow"/>
          <w:sz w:val="20"/>
          <w:szCs w:val="20"/>
        </w:rPr>
        <w:t xml:space="preserve">Należy podać uzasadnienie swojego wyboru w przeznaczonej do tego rubryce. </w:t>
      </w:r>
    </w:p>
    <w:p w:rsidR="00AA5041" w:rsidRDefault="00AA5041" w:rsidP="00AA5041">
      <w:pPr>
        <w:spacing w:line="276" w:lineRule="auto"/>
        <w:jc w:val="both"/>
        <w:rPr>
          <w:rFonts w:ascii="Arial Narrow" w:hAnsi="Arial Narrow"/>
          <w:sz w:val="20"/>
          <w:szCs w:val="20"/>
        </w:rPr>
      </w:pPr>
      <w:r>
        <w:rPr>
          <w:rFonts w:ascii="Arial Narrow" w:hAnsi="Arial Narrow"/>
          <w:sz w:val="20"/>
          <w:szCs w:val="20"/>
        </w:rPr>
        <w:t>Dopuszczalne jest uznanie neutralności projektu pod warunkiem wskazania szczegółowego uzasadnienia, dlaczego dany projekt nie jest w stanie zrealizować jakichkolwiek działań w zakresie spełnienia ww. zasady. Uzasadnienie to podlega ocenie.</w:t>
      </w:r>
    </w:p>
    <w:p w:rsidR="00AA5041" w:rsidRDefault="00AA5041" w:rsidP="00AA5041">
      <w:pPr>
        <w:spacing w:line="276" w:lineRule="auto"/>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500860" w:rsidRPr="00AA5041" w:rsidRDefault="00500860" w:rsidP="00AA5041">
      <w:pPr>
        <w:spacing w:line="276" w:lineRule="auto"/>
        <w:jc w:val="both"/>
        <w:rPr>
          <w:rFonts w:ascii="Arial Narrow" w:hAnsi="Arial Narrow"/>
          <w:sz w:val="20"/>
          <w:szCs w:val="20"/>
        </w:rPr>
      </w:pPr>
    </w:p>
    <w:p w:rsidR="005A0F26" w:rsidRPr="001D76E3"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E2649D" w:rsidRPr="001D76E3" w:rsidRDefault="00E2649D" w:rsidP="00500860">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rsidR="00E2649D" w:rsidRPr="001D76E3" w:rsidRDefault="00E2649D"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AA5041">
        <w:rPr>
          <w:rFonts w:ascii="Arial Narrow" w:hAnsi="Arial Narrow"/>
          <w:sz w:val="20"/>
          <w:szCs w:val="20"/>
        </w:rPr>
        <w:t xml:space="preserve">poprzez wstawienie znaku „X” w odpowiedniej rubryce, </w:t>
      </w:r>
      <w:r w:rsidRPr="001D76E3">
        <w:rPr>
          <w:rFonts w:ascii="Arial Narrow" w:hAnsi="Arial Narrow" w:cs="Arial"/>
          <w:sz w:val="20"/>
          <w:szCs w:val="20"/>
        </w:rPr>
        <w:t xml:space="preserve">określa charakter projektu w odniesieniu do zgodności projektu z polityką równości szans i niedyskryminacji w tym dostępności dla osób z niepełnosprawnościami, uwzględniając zapisy podrozdziału 5.2 ww. Wytycznych. Wnioskodawca </w:t>
      </w:r>
      <w:r w:rsidR="00AA5041">
        <w:rPr>
          <w:rFonts w:ascii="Arial Narrow" w:hAnsi="Arial Narrow"/>
          <w:sz w:val="20"/>
          <w:szCs w:val="20"/>
        </w:rPr>
        <w:t xml:space="preserve">ma do wyboru </w:t>
      </w:r>
      <w:r w:rsidR="00AA5041">
        <w:rPr>
          <w:rFonts w:ascii="Arial Narrow" w:hAnsi="Arial Narrow" w:cs="Arial"/>
          <w:sz w:val="20"/>
          <w:szCs w:val="20"/>
        </w:rPr>
        <w:t xml:space="preserve">pozytywny, </w:t>
      </w:r>
      <w:r w:rsidRPr="001D76E3">
        <w:rPr>
          <w:rFonts w:ascii="Arial Narrow" w:hAnsi="Arial Narrow" w:cs="Arial"/>
          <w:sz w:val="20"/>
          <w:szCs w:val="20"/>
        </w:rPr>
        <w:t>neutralny</w:t>
      </w:r>
      <w:r w:rsidR="00AA5041">
        <w:rPr>
          <w:rFonts w:ascii="Arial Narrow" w:hAnsi="Arial Narrow" w:cs="Arial"/>
          <w:sz w:val="20"/>
          <w:szCs w:val="20"/>
        </w:rPr>
        <w:t xml:space="preserve"> lub negatywny</w:t>
      </w:r>
      <w:r w:rsidRPr="001D76E3">
        <w:rPr>
          <w:rFonts w:ascii="Arial Narrow" w:hAnsi="Arial Narrow" w:cs="Arial"/>
          <w:sz w:val="20"/>
          <w:szCs w:val="20"/>
        </w:rPr>
        <w:t xml:space="preserve"> charakter projektu pod względem zgodności projektu z polityką równości szans i niedyskryminacji w tym dostępności d</w:t>
      </w:r>
      <w:r w:rsidR="00AA5041">
        <w:rPr>
          <w:rFonts w:ascii="Arial Narrow" w:hAnsi="Arial Narrow" w:cs="Arial"/>
          <w:sz w:val="20"/>
          <w:szCs w:val="20"/>
        </w:rPr>
        <w:t>la osób z niepełnosprawnościami.</w:t>
      </w:r>
      <w:r w:rsidRPr="001D76E3">
        <w:rPr>
          <w:rFonts w:ascii="Arial Narrow" w:hAnsi="Arial Narrow" w:cs="Arial"/>
          <w:sz w:val="20"/>
          <w:szCs w:val="20"/>
        </w:rPr>
        <w:t xml:space="preserve"> </w:t>
      </w:r>
      <w:r w:rsidR="00AA5041">
        <w:rPr>
          <w:rFonts w:ascii="Arial Narrow" w:hAnsi="Arial Narrow"/>
          <w:sz w:val="20"/>
          <w:szCs w:val="20"/>
        </w:rPr>
        <w:t>Jednakże pozytywną ocenę uzyska jedynie projekt, który wykaże</w:t>
      </w:r>
      <w:r w:rsidR="00AA5041">
        <w:rPr>
          <w:rFonts w:ascii="Arial Narrow" w:hAnsi="Arial Narrow"/>
          <w:b/>
          <w:sz w:val="20"/>
          <w:szCs w:val="20"/>
        </w:rPr>
        <w:t xml:space="preserve"> pozytywny wpływ realizacji projektu na ww. politykę</w:t>
      </w:r>
      <w:r w:rsidR="00AA5041">
        <w:rPr>
          <w:rFonts w:ascii="Arial Narrow" w:hAnsi="Arial Narrow"/>
          <w:sz w:val="20"/>
          <w:szCs w:val="20"/>
        </w:rPr>
        <w:t>.</w:t>
      </w:r>
      <w:r w:rsidRPr="001D76E3">
        <w:rPr>
          <w:rFonts w:ascii="Arial Narrow" w:hAnsi="Arial Narrow" w:cs="Arial"/>
          <w:sz w:val="20"/>
          <w:szCs w:val="20"/>
        </w:rPr>
        <w:t xml:space="preserve"> </w:t>
      </w:r>
      <w:r w:rsidR="00AA5041">
        <w:rPr>
          <w:rFonts w:ascii="Arial Narrow" w:hAnsi="Arial Narrow" w:cs="Arial"/>
          <w:sz w:val="20"/>
          <w:szCs w:val="20"/>
        </w:rPr>
        <w:t>Należy poda</w:t>
      </w:r>
      <w:r w:rsidR="00AA5041" w:rsidRPr="00AA5041">
        <w:rPr>
          <w:rFonts w:ascii="Arial Narrow" w:hAnsi="Arial Narrow" w:cs="Arial"/>
          <w:sz w:val="20"/>
          <w:szCs w:val="20"/>
        </w:rPr>
        <w:t>ć uzasadnienie swojego wyboru w przeznaczonej do tego rubryce.</w:t>
      </w:r>
    </w:p>
    <w:p w:rsidR="005537DA" w:rsidRDefault="00E2649D" w:rsidP="00500860">
      <w:pPr>
        <w:spacing w:line="276" w:lineRule="auto"/>
        <w:jc w:val="both"/>
        <w:rPr>
          <w:rFonts w:ascii="Arial Narrow" w:hAnsi="Arial Narrow"/>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w:t>
      </w:r>
      <w:r w:rsidR="00AA5041">
        <w:rPr>
          <w:rFonts w:ascii="Arial Narrow" w:hAnsi="Arial Narrow" w:cs="Arial"/>
          <w:sz w:val="20"/>
          <w:szCs w:val="20"/>
        </w:rPr>
        <w:t xml:space="preserve">nowe </w:t>
      </w:r>
      <w:r w:rsidR="005603D0" w:rsidRPr="00AA5041">
        <w:rPr>
          <w:rFonts w:ascii="Arial Narrow" w:hAnsi="Arial Narrow" w:cs="Arial"/>
          <w:b/>
          <w:sz w:val="20"/>
          <w:szCs w:val="20"/>
        </w:rPr>
        <w:t>produkty</w:t>
      </w:r>
      <w:r w:rsidR="005603D0" w:rsidRPr="005603D0">
        <w:rPr>
          <w:rFonts w:ascii="Arial Narrow" w:hAnsi="Arial Narrow" w:cs="Arial"/>
          <w:sz w:val="20"/>
          <w:szCs w:val="20"/>
        </w:rPr>
        <w:t xml:space="preserve"> projektu (</w:t>
      </w:r>
      <w:r w:rsidR="005537DA">
        <w:rPr>
          <w:rFonts w:ascii="Arial Narrow" w:hAnsi="Arial Narrow"/>
          <w:sz w:val="20"/>
          <w:szCs w:val="20"/>
        </w:rPr>
        <w:t>zasoby cyfrowe, środki transportu</w:t>
      </w:r>
      <w:r w:rsidR="005603D0" w:rsidRPr="005603D0">
        <w:rPr>
          <w:rFonts w:ascii="Arial Narrow" w:hAnsi="Arial Narrow" w:cs="Arial"/>
          <w:sz w:val="20"/>
          <w:szCs w:val="20"/>
        </w:rPr>
        <w:t>, infrastruktura) muszą być dostępne dla wszystkich osób, w tym również dostosowane do zidentyfikowanych potrze</w:t>
      </w:r>
      <w:r w:rsidR="005537DA">
        <w:rPr>
          <w:rFonts w:ascii="Arial Narrow" w:hAnsi="Arial Narrow" w:cs="Arial"/>
          <w:sz w:val="20"/>
          <w:szCs w:val="20"/>
        </w:rPr>
        <w:t xml:space="preserve">b osób z niepełnosprawnościami. </w:t>
      </w:r>
      <w:r w:rsidR="005537DA">
        <w:rPr>
          <w:rFonts w:ascii="Arial Narrow" w:hAnsi="Arial Narrow"/>
          <w:sz w:val="20"/>
          <w:szCs w:val="20"/>
        </w:rPr>
        <w:t xml:space="preserve">Jednocześnie w wyjątkowych sytuacjach, dopuszczalne jest uznanie neutralności </w:t>
      </w:r>
      <w:r w:rsidR="005537DA">
        <w:rPr>
          <w:rFonts w:ascii="Arial Narrow" w:hAnsi="Arial Narrow"/>
          <w:b/>
          <w:sz w:val="20"/>
          <w:szCs w:val="20"/>
        </w:rPr>
        <w:t>produktu</w:t>
      </w:r>
      <w:r w:rsidR="005537DA">
        <w:rPr>
          <w:rFonts w:ascii="Arial Narrow" w:hAnsi="Arial Narrow"/>
          <w:sz w:val="20"/>
          <w:szCs w:val="20"/>
        </w:rPr>
        <w:t xml:space="preserve"> projektu. O neutralności produktu </w:t>
      </w:r>
      <w:r w:rsidR="005537DA">
        <w:rPr>
          <w:rFonts w:ascii="Arial Narrow" w:hAnsi="Arial Narrow"/>
          <w:sz w:val="20"/>
          <w:szCs w:val="20"/>
        </w:rPr>
        <w:lastRenderedPageBreak/>
        <w:t>można mówić w sytuacji, kiedy Wnioskodawca wykaże, że dostępność nie dotyczy danego produktu na przykład z uwagi na brak jego bezpośrednich użytkowników. Neutralność może dotyczyć jednak konkretnego produktu, nie zaś projektu jako całości.</w:t>
      </w:r>
    </w:p>
    <w:p w:rsidR="005537DA" w:rsidRDefault="005537DA" w:rsidP="005537DA">
      <w:pPr>
        <w:jc w:val="both"/>
        <w:rPr>
          <w:rFonts w:ascii="Arial Narrow" w:hAnsi="Arial Narrow"/>
          <w:sz w:val="20"/>
          <w:szCs w:val="20"/>
        </w:rPr>
      </w:pPr>
    </w:p>
    <w:p w:rsidR="005537DA" w:rsidRDefault="005537DA" w:rsidP="00500860">
      <w:pPr>
        <w:spacing w:line="276" w:lineRule="auto"/>
        <w:jc w:val="both"/>
        <w:rPr>
          <w:rFonts w:ascii="Arial Narrow" w:hAnsi="Arial Narrow" w:cs="Arial"/>
          <w:sz w:val="20"/>
          <w:szCs w:val="20"/>
        </w:rPr>
      </w:pPr>
      <w:r>
        <w:rPr>
          <w:rFonts w:ascii="Arial Narrow" w:hAnsi="Arial Narrow"/>
          <w:sz w:val="20"/>
          <w:szCs w:val="20"/>
        </w:rPr>
        <w:t xml:space="preserve">Dostępność nowych produktów finansowanych w ramach projektu </w:t>
      </w:r>
      <w:r>
        <w:rPr>
          <w:rFonts w:ascii="Arial Narrow" w:hAnsi="Arial Narrow" w:cs="Arial"/>
          <w:sz w:val="20"/>
          <w:szCs w:val="20"/>
        </w:rPr>
        <w:t>o</w:t>
      </w:r>
      <w:r w:rsidR="005603D0" w:rsidRPr="005603D0">
        <w:rPr>
          <w:rFonts w:ascii="Arial Narrow" w:hAnsi="Arial Narrow" w:cs="Arial"/>
          <w:sz w:val="20"/>
          <w:szCs w:val="20"/>
        </w:rPr>
        <w:t>znacza</w:t>
      </w:r>
      <w:r>
        <w:rPr>
          <w:rFonts w:ascii="Arial Narrow" w:hAnsi="Arial Narrow" w:cs="Arial"/>
          <w:sz w:val="20"/>
          <w:szCs w:val="20"/>
        </w:rPr>
        <w:t>, iż</w:t>
      </w:r>
      <w:r w:rsidR="005603D0" w:rsidRPr="005603D0">
        <w:rPr>
          <w:rFonts w:ascii="Arial Narrow" w:hAnsi="Arial Narrow" w:cs="Arial"/>
          <w:sz w:val="20"/>
          <w:szCs w:val="20"/>
        </w:rPr>
        <w:t xml:space="preserve"> muszą być zgodne z koncepcją uniwersalnego projektowania</w:t>
      </w:r>
      <w:r>
        <w:rPr>
          <w:rFonts w:ascii="Arial Narrow" w:hAnsi="Arial Narrow"/>
          <w:sz w:val="20"/>
          <w:szCs w:val="20"/>
        </w:rPr>
        <w:t>, co z kolei oznacza co najmniej zastosowanie standardów dostępności dla polityki spójności na lata 2014-2020 stanowiące załącznik nr 2 do ww. Wytycznych.</w:t>
      </w:r>
      <w:r>
        <w:rPr>
          <w:rFonts w:ascii="Arial Narrow" w:hAnsi="Arial Narrow" w:cs="Arial"/>
          <w:sz w:val="20"/>
          <w:szCs w:val="20"/>
        </w:rPr>
        <w:t xml:space="preserve"> </w:t>
      </w:r>
      <w:r w:rsidR="005603D0" w:rsidRPr="005603D0">
        <w:rPr>
          <w:rFonts w:ascii="Arial Narrow" w:hAnsi="Arial Narrow" w:cs="Arial"/>
          <w:sz w:val="20"/>
          <w:szCs w:val="20"/>
        </w:rPr>
        <w:t xml:space="preserve">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w:t>
      </w:r>
      <w:r w:rsidR="005603D0" w:rsidRPr="005537DA">
        <w:rPr>
          <w:rFonts w:ascii="Arial Narrow" w:hAnsi="Arial Narrow" w:cs="Arial"/>
          <w:b/>
          <w:sz w:val="20"/>
          <w:szCs w:val="20"/>
        </w:rPr>
        <w:t>nowo tworzonej inwestycji, z uwzględnieniem rodzajów niepełnosprawności</w:t>
      </w:r>
      <w:r>
        <w:rPr>
          <w:rFonts w:ascii="Arial Narrow" w:hAnsi="Arial Narrow" w:cs="Arial"/>
          <w:b/>
          <w:sz w:val="20"/>
          <w:szCs w:val="20"/>
        </w:rPr>
        <w:t xml:space="preserve"> użytkowników</w:t>
      </w:r>
      <w:r w:rsidR="005603D0" w:rsidRPr="005603D0">
        <w:rPr>
          <w:rFonts w:ascii="Arial Narrow" w:hAnsi="Arial Narrow" w:cs="Arial"/>
          <w:sz w:val="20"/>
          <w:szCs w:val="20"/>
        </w:rPr>
        <w:t xml:space="preserve">. </w:t>
      </w:r>
    </w:p>
    <w:p w:rsidR="005537DA" w:rsidRPr="005537DA" w:rsidRDefault="005537DA" w:rsidP="00500860">
      <w:pPr>
        <w:spacing w:line="276" w:lineRule="auto"/>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rsidR="00715969" w:rsidRDefault="005603D0" w:rsidP="00500860">
      <w:pPr>
        <w:spacing w:line="276" w:lineRule="auto"/>
        <w:jc w:val="both"/>
        <w:rPr>
          <w:rFonts w:ascii="Arial Narrow" w:hAnsi="Arial Narrow" w:cs="Arial"/>
          <w:sz w:val="20"/>
          <w:szCs w:val="20"/>
        </w:rPr>
      </w:pPr>
      <w:r w:rsidRPr="005603D0">
        <w:rPr>
          <w:rFonts w:ascii="Arial Narrow" w:hAnsi="Arial Narrow" w:cs="Arial"/>
          <w:sz w:val="20"/>
          <w:szCs w:val="20"/>
        </w:rPr>
        <w:t>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rsidR="005537DA" w:rsidRDefault="005537DA" w:rsidP="00500860">
      <w:pPr>
        <w:spacing w:line="276" w:lineRule="auto"/>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5537DA" w:rsidRDefault="005537DA" w:rsidP="00500860">
      <w:pPr>
        <w:jc w:val="both"/>
        <w:rPr>
          <w:rFonts w:ascii="Arial Narrow" w:hAnsi="Arial Narrow"/>
          <w:sz w:val="18"/>
          <w:szCs w:val="18"/>
        </w:rPr>
      </w:pPr>
      <w:r>
        <w:rPr>
          <w:rFonts w:ascii="Arial Narrow" w:hAnsi="Arial Narrow"/>
          <w:sz w:val="18"/>
          <w:szCs w:val="18"/>
        </w:rPr>
        <w:t>* W przypadku modernizacji dostępność dotyczy co najmniej tych elementów budynku lub infrastruktury,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500860" w:rsidRPr="00500860" w:rsidRDefault="00500860" w:rsidP="00500860">
      <w:pPr>
        <w:jc w:val="both"/>
        <w:rPr>
          <w:rFonts w:ascii="Arial Narrow" w:hAnsi="Arial Narrow"/>
          <w:sz w:val="18"/>
          <w:szCs w:val="18"/>
        </w:rPr>
      </w:pP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7823E0"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00860" w:rsidRPr="001D76E3" w:rsidRDefault="0050086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wskazać sposób, w jaki projekt przyczynia się do realizacji celów </w:t>
      </w:r>
      <w:r w:rsidR="00D937AD">
        <w:rPr>
          <w:rFonts w:ascii="Arial Narrow" w:hAnsi="Arial Narrow" w:cs="Arial"/>
          <w:sz w:val="20"/>
          <w:szCs w:val="20"/>
        </w:rPr>
        <w:t>Pod</w:t>
      </w:r>
      <w:r w:rsidR="00513450">
        <w:rPr>
          <w:rFonts w:ascii="Arial Narrow" w:hAnsi="Arial Narrow" w:cs="Arial"/>
          <w:sz w:val="20"/>
          <w:szCs w:val="20"/>
        </w:rPr>
        <w:t xml:space="preserve">ziałania </w:t>
      </w:r>
      <w:r w:rsidR="00D937AD">
        <w:rPr>
          <w:rFonts w:ascii="Arial Narrow" w:hAnsi="Arial Narrow" w:cs="Arial"/>
          <w:sz w:val="20"/>
          <w:szCs w:val="20"/>
        </w:rPr>
        <w:t>III.2.2 Drogi lokalne</w:t>
      </w:r>
      <w:r w:rsidR="0030218B">
        <w:rPr>
          <w:rFonts w:ascii="Arial Narrow" w:hAnsi="Arial Narrow" w:cs="Arial"/>
          <w:sz w:val="20"/>
          <w:szCs w:val="20"/>
        </w:rPr>
        <w:t>;</w:t>
      </w:r>
    </w:p>
    <w:p w:rsidR="00513450" w:rsidRDefault="00621CEB"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 xml:space="preserve">wykazać, iż przedmiotowy projekt wpisuje się w typy projektów wskazane w pkt. 9 SzOOP dla </w:t>
      </w:r>
      <w:r w:rsidR="0030218B">
        <w:rPr>
          <w:rFonts w:ascii="Arial Narrow" w:hAnsi="Arial Narrow" w:cs="Arial"/>
          <w:sz w:val="20"/>
          <w:szCs w:val="20"/>
        </w:rPr>
        <w:t>Pod</w:t>
      </w:r>
      <w:r w:rsidR="00513450">
        <w:rPr>
          <w:rFonts w:ascii="Arial Narrow" w:hAnsi="Arial Narrow" w:cs="Arial"/>
          <w:sz w:val="20"/>
          <w:szCs w:val="20"/>
        </w:rPr>
        <w:t xml:space="preserve">ziałania </w:t>
      </w:r>
      <w:r w:rsidR="0030218B">
        <w:rPr>
          <w:rFonts w:ascii="Arial Narrow" w:hAnsi="Arial Narrow" w:cs="Arial"/>
          <w:sz w:val="20"/>
          <w:szCs w:val="20"/>
        </w:rPr>
        <w:t>III.2.2 Drogi lokalne</w:t>
      </w:r>
      <w:r w:rsidR="00513450" w:rsidRPr="00513450">
        <w:rPr>
          <w:rFonts w:ascii="Arial Narrow" w:hAnsi="Arial Narrow" w:cs="Arial"/>
          <w:sz w:val="20"/>
          <w:szCs w:val="20"/>
        </w:rPr>
        <w:t xml:space="preserve"> </w:t>
      </w:r>
      <w:r w:rsidR="0030218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00860" w:rsidRDefault="00500860" w:rsidP="001D76E3">
      <w:pPr>
        <w:spacing w:before="120" w:line="276" w:lineRule="auto"/>
        <w:jc w:val="both"/>
        <w:rPr>
          <w:rFonts w:ascii="Arial Narrow" w:hAnsi="Arial Narrow" w:cs="Arial"/>
          <w:b/>
          <w:sz w:val="20"/>
          <w:szCs w:val="20"/>
          <w:u w:val="single"/>
        </w:rPr>
      </w:pP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Default="00FD58DB" w:rsidP="001D76E3">
      <w:pPr>
        <w:spacing w:line="276" w:lineRule="auto"/>
        <w:jc w:val="both"/>
        <w:rPr>
          <w:rFonts w:ascii="Arial Narrow" w:hAnsi="Arial Narrow" w:cs="Arial"/>
          <w:sz w:val="20"/>
          <w:szCs w:val="20"/>
        </w:rPr>
      </w:pP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3F161D">
        <w:rPr>
          <w:rFonts w:ascii="Arial Narrow" w:hAnsi="Arial Narrow"/>
          <w:sz w:val="20"/>
          <w:szCs w:val="20"/>
        </w:rPr>
        <w:t>III.2</w:t>
      </w:r>
      <w:r w:rsidRPr="00756AC7">
        <w:rPr>
          <w:rFonts w:ascii="Arial Narrow" w:hAnsi="Arial Narrow"/>
          <w:sz w:val="20"/>
          <w:szCs w:val="20"/>
        </w:rPr>
        <w:t xml:space="preserve"> wartość kosztów pośrednich rozliczanych ryczałtem wynosi </w:t>
      </w:r>
      <w:r w:rsidR="003F161D">
        <w:rPr>
          <w:rFonts w:ascii="Arial Narrow" w:hAnsi="Arial Narrow"/>
          <w:sz w:val="20"/>
          <w:szCs w:val="20"/>
        </w:rPr>
        <w:t>2</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 xml:space="preserve">Natomiast koszty pośrednie, rozliczane na podstawie rzeczywiście poniesionych wydatków, nie mogą przekroczyć łącznie 5% bezpośrednich wydatków kwalifikowalnych projektu - łącznie miesięcznie nie więcej niż 20 tys. PLN. Kwota ta jest traktowana jako </w:t>
      </w:r>
      <w:r w:rsidRPr="00AD2AB7">
        <w:rPr>
          <w:rFonts w:ascii="Arial Narrow" w:hAnsi="Arial Narrow"/>
          <w:sz w:val="20"/>
          <w:szCs w:val="20"/>
        </w:rPr>
        <w:lastRenderedPageBreak/>
        <w:t>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2214F2" w:rsidRDefault="004D5869" w:rsidP="00010E86">
      <w:pPr>
        <w:numPr>
          <w:ilvl w:val="0"/>
          <w:numId w:val="7"/>
        </w:numPr>
        <w:contextualSpacing/>
        <w:rPr>
          <w:rFonts w:ascii="Arial Narrow" w:hAnsi="Arial Narrow"/>
          <w:sz w:val="20"/>
          <w:szCs w:val="20"/>
        </w:rPr>
      </w:pPr>
      <w:r>
        <w:rPr>
          <w:rFonts w:ascii="Arial Narrow" w:hAnsi="Arial Narrow" w:cs="Arial"/>
          <w:sz w:val="20"/>
          <w:szCs w:val="20"/>
        </w:rPr>
        <w:t>Przygotowania projektu;</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rzeczywiście ponoszonych </w:t>
      </w:r>
      <w:r w:rsidRPr="002214F2">
        <w:rPr>
          <w:rFonts w:ascii="Arial Narrow" w:hAnsi="Arial Narrow"/>
          <w:sz w:val="20"/>
          <w:szCs w:val="20"/>
        </w:rPr>
        <w:t>– limit ten wykorzystywany jest wyłącznie, gdy wydatki związane z zarządzaniem projektem i jego obsługą są rozliczane jako</w:t>
      </w:r>
      <w:r w:rsidR="004D5869">
        <w:rPr>
          <w:rFonts w:ascii="Arial Narrow" w:hAnsi="Arial Narrow"/>
          <w:sz w:val="20"/>
          <w:szCs w:val="20"/>
        </w:rPr>
        <w:t xml:space="preserve"> wydatki rzeczywiście ponoszone;</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lastRenderedPageBreak/>
        <w:t xml:space="preserve">Koszt pośredni „Zarządzania projektem i jego obsługą” dla wydatków rozliczanych stawką ryczałtową - </w:t>
      </w:r>
      <w:r w:rsidRPr="002214F2">
        <w:rPr>
          <w:rFonts w:ascii="Arial Narrow" w:hAnsi="Arial Narrow"/>
          <w:sz w:val="20"/>
          <w:szCs w:val="20"/>
        </w:rPr>
        <w:t>limit ten wykorzystywany jest wyłącznie, gdy wydatki związane z zarządzaniem projektem i jego obsługą są rozliczane stawką ryczałtową;</w:t>
      </w:r>
    </w:p>
    <w:p w:rsidR="005E6AF2" w:rsidRPr="002214F2"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Wkładu niepieniężnego</w:t>
      </w:r>
      <w:r w:rsidR="004D5869">
        <w:rPr>
          <w:rFonts w:ascii="Arial Narrow" w:hAnsi="Arial Narrow" w:cs="Arial"/>
          <w:sz w:val="20"/>
          <w:szCs w:val="20"/>
        </w:rPr>
        <w:t>;</w:t>
      </w:r>
    </w:p>
    <w:p w:rsidR="00666F74" w:rsidRPr="002214F2" w:rsidRDefault="00666F74" w:rsidP="00666F74">
      <w:pPr>
        <w:numPr>
          <w:ilvl w:val="0"/>
          <w:numId w:val="7"/>
        </w:numPr>
        <w:contextualSpacing/>
        <w:rPr>
          <w:rFonts w:ascii="Arial Narrow" w:hAnsi="Arial Narrow"/>
          <w:sz w:val="20"/>
          <w:szCs w:val="20"/>
        </w:rPr>
      </w:pPr>
      <w:r w:rsidRPr="002214F2">
        <w:rPr>
          <w:rFonts w:ascii="Arial Narrow" w:hAnsi="Arial Narrow"/>
          <w:sz w:val="20"/>
          <w:szCs w:val="20"/>
        </w:rPr>
        <w:t>Zakupu nieruchomości niezabudowanej lub zabudowanej</w:t>
      </w:r>
      <w:r w:rsidR="004D5869">
        <w:rPr>
          <w:rFonts w:ascii="Arial Narrow" w:hAnsi="Arial Narrow"/>
          <w:sz w:val="20"/>
          <w:szCs w:val="20"/>
        </w:rPr>
        <w:t>;</w:t>
      </w:r>
    </w:p>
    <w:p w:rsidR="00666F74" w:rsidRDefault="00666F74" w:rsidP="00666F74">
      <w:pPr>
        <w:numPr>
          <w:ilvl w:val="0"/>
          <w:numId w:val="7"/>
        </w:numPr>
        <w:contextualSpacing/>
        <w:rPr>
          <w:rFonts w:ascii="Arial Narrow" w:hAnsi="Arial Narrow"/>
          <w:sz w:val="20"/>
          <w:szCs w:val="20"/>
        </w:rPr>
      </w:pPr>
      <w:r w:rsidRPr="002214F2">
        <w:rPr>
          <w:rFonts w:ascii="Arial Narrow" w:hAnsi="Arial Narrow"/>
          <w:sz w:val="20"/>
          <w:szCs w:val="20"/>
        </w:rPr>
        <w:t>Cross-financingu</w:t>
      </w:r>
      <w:r w:rsidR="004D5869">
        <w:rPr>
          <w:rFonts w:ascii="Arial Narrow" w:hAnsi="Arial Narrow"/>
          <w:sz w:val="20"/>
          <w:szCs w:val="20"/>
        </w:rPr>
        <w:t>;</w:t>
      </w:r>
    </w:p>
    <w:p w:rsidR="004D5869" w:rsidRDefault="004D5869" w:rsidP="004D5869">
      <w:pPr>
        <w:numPr>
          <w:ilvl w:val="0"/>
          <w:numId w:val="7"/>
        </w:numPr>
        <w:contextualSpacing/>
        <w:jc w:val="both"/>
        <w:rPr>
          <w:rFonts w:ascii="Arial Narrow" w:hAnsi="Arial Narrow"/>
          <w:sz w:val="20"/>
          <w:szCs w:val="20"/>
        </w:rPr>
      </w:pPr>
      <w:r>
        <w:rPr>
          <w:rFonts w:ascii="Arial Narrow" w:hAnsi="Arial Narrow"/>
          <w:sz w:val="20"/>
          <w:szCs w:val="20"/>
        </w:rPr>
        <w:t>Przebudowy</w:t>
      </w:r>
      <w:r w:rsidRPr="004D5869">
        <w:rPr>
          <w:rFonts w:ascii="Arial Narrow" w:hAnsi="Arial Narrow"/>
          <w:sz w:val="20"/>
          <w:szCs w:val="20"/>
        </w:rPr>
        <w:t xml:space="preserve"> </w:t>
      </w:r>
      <w:r>
        <w:rPr>
          <w:rFonts w:ascii="Arial Narrow" w:hAnsi="Arial Narrow"/>
          <w:sz w:val="20"/>
          <w:szCs w:val="20"/>
        </w:rPr>
        <w:t>infrastruktury technicznej kolidującej z inwestycją w tym</w:t>
      </w:r>
      <w:r w:rsidRPr="004D5869">
        <w:rPr>
          <w:rFonts w:ascii="Arial Narrow" w:hAnsi="Arial Narrow"/>
          <w:sz w:val="20"/>
          <w:szCs w:val="20"/>
        </w:rPr>
        <w:t xml:space="preserve"> linii </w:t>
      </w:r>
      <w:r>
        <w:rPr>
          <w:rFonts w:ascii="Arial Narrow" w:hAnsi="Arial Narrow"/>
          <w:sz w:val="20"/>
          <w:szCs w:val="20"/>
        </w:rPr>
        <w:t>elektroenergetycznej, teletechnicznej, kanalizacji sanitarnej, sieci gazowej, ciepłowniczej, wodociągowej, urządzeń wodnych melioracji,</w:t>
      </w:r>
      <w:r w:rsidRPr="004D5869">
        <w:rPr>
          <w:rFonts w:ascii="Arial Narrow" w:hAnsi="Arial Narrow"/>
          <w:sz w:val="20"/>
          <w:szCs w:val="20"/>
        </w:rPr>
        <w:t xml:space="preserve"> urządzeń </w:t>
      </w:r>
      <w:r>
        <w:rPr>
          <w:rFonts w:ascii="Arial Narrow" w:hAnsi="Arial Narrow"/>
          <w:sz w:val="20"/>
          <w:szCs w:val="20"/>
        </w:rPr>
        <w:t xml:space="preserve">podziemnych </w:t>
      </w:r>
      <w:r w:rsidRPr="004D5869">
        <w:rPr>
          <w:rFonts w:ascii="Arial Narrow" w:hAnsi="Arial Narrow"/>
          <w:sz w:val="20"/>
          <w:szCs w:val="20"/>
        </w:rPr>
        <w:t>sp</w:t>
      </w:r>
      <w:r>
        <w:rPr>
          <w:rFonts w:ascii="Arial Narrow" w:hAnsi="Arial Narrow"/>
          <w:sz w:val="20"/>
          <w:szCs w:val="20"/>
        </w:rPr>
        <w:t xml:space="preserve">ecjalnego przeznaczenia </w:t>
      </w:r>
      <w:r w:rsidRPr="004D5869">
        <w:rPr>
          <w:rFonts w:ascii="Arial Narrow" w:hAnsi="Arial Narrow"/>
          <w:sz w:val="20"/>
          <w:szCs w:val="20"/>
        </w:rPr>
        <w:t>(maksymal</w:t>
      </w:r>
      <w:r>
        <w:rPr>
          <w:rFonts w:ascii="Arial Narrow" w:hAnsi="Arial Narrow"/>
          <w:sz w:val="20"/>
          <w:szCs w:val="20"/>
        </w:rPr>
        <w:t xml:space="preserve">nie do 10% </w:t>
      </w:r>
      <w:r w:rsidRPr="004D5869">
        <w:rPr>
          <w:rFonts w:ascii="Arial Narrow" w:hAnsi="Arial Narrow"/>
          <w:sz w:val="20"/>
          <w:szCs w:val="20"/>
        </w:rPr>
        <w:t>wydatków kwalifikowalnych)</w:t>
      </w:r>
      <w:r>
        <w:rPr>
          <w:rFonts w:ascii="Arial Narrow" w:hAnsi="Arial Narrow"/>
          <w:sz w:val="20"/>
          <w:szCs w:val="20"/>
        </w:rPr>
        <w:t>.</w:t>
      </w:r>
    </w:p>
    <w:p w:rsidR="004D5869" w:rsidRPr="004D5869" w:rsidRDefault="004D5869" w:rsidP="004D5869">
      <w:pPr>
        <w:ind w:left="720"/>
        <w:contextualSpacing/>
        <w:jc w:val="both"/>
        <w:rPr>
          <w:rFonts w:ascii="Arial Narrow" w:hAnsi="Arial Narrow"/>
          <w:sz w:val="20"/>
          <w:szCs w:val="20"/>
        </w:rPr>
      </w:pP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rsidR="00B119C0" w:rsidRPr="004767A9" w:rsidRDefault="004767A9" w:rsidP="001D76E3">
      <w:pPr>
        <w:autoSpaceDE w:val="0"/>
        <w:autoSpaceDN w:val="0"/>
        <w:adjustRightInd w:val="0"/>
        <w:spacing w:line="276" w:lineRule="auto"/>
        <w:jc w:val="both"/>
        <w:rPr>
          <w:rFonts w:ascii="Arial Narrow" w:hAnsi="Arial Narrow" w:cs="Arial"/>
          <w:color w:val="000000"/>
          <w:sz w:val="20"/>
          <w:szCs w:val="20"/>
        </w:rPr>
      </w:pPr>
      <w:r w:rsidRPr="004767A9">
        <w:rPr>
          <w:rFonts w:ascii="Arial Narrow" w:hAnsi="Arial Narrow" w:cs="Arial"/>
          <w:color w:val="000000"/>
          <w:sz w:val="20"/>
          <w:szCs w:val="20"/>
        </w:rPr>
        <w:t>Nie dotyczy</w:t>
      </w:r>
      <w:r>
        <w:rPr>
          <w:rFonts w:ascii="Arial Narrow" w:hAnsi="Arial Narrow" w:cs="Arial"/>
          <w:color w:val="000000"/>
          <w:sz w:val="20"/>
          <w:szCs w:val="20"/>
        </w:rPr>
        <w:t>.</w:t>
      </w:r>
    </w:p>
    <w:p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rsidR="00E75503" w:rsidRPr="001D76E3" w:rsidRDefault="00E75503" w:rsidP="001D76E3">
      <w:pPr>
        <w:spacing w:line="276" w:lineRule="auto"/>
        <w:jc w:val="both"/>
        <w:rPr>
          <w:rFonts w:ascii="Arial Narrow" w:hAnsi="Arial Narrow" w:cs="Arial"/>
          <w:sz w:val="20"/>
          <w:szCs w:val="20"/>
        </w:rPr>
      </w:pPr>
    </w:p>
    <w:p w:rsidR="00031C5E" w:rsidRPr="003116B0" w:rsidRDefault="00031C5E" w:rsidP="00031C5E">
      <w:pPr>
        <w:rPr>
          <w:rFonts w:ascii="Arial Narrow" w:hAnsi="Arial Narrow" w:cs="Arial"/>
          <w:bCs/>
          <w:i/>
          <w:color w:val="000000"/>
          <w:sz w:val="20"/>
          <w:szCs w:val="20"/>
        </w:rPr>
      </w:pPr>
      <w:r w:rsidRPr="003116B0">
        <w:rPr>
          <w:rFonts w:ascii="Arial Narrow" w:hAnsi="Arial Narrow" w:cs="Arial"/>
          <w:bCs/>
          <w:color w:val="000000"/>
          <w:sz w:val="20"/>
          <w:szCs w:val="20"/>
        </w:rPr>
        <w:t xml:space="preserve">W przypadku projektów generujących dochód Wnioskodawca oblicza go z wykorzystaniem metody luki finansowej (zgodnie z pkt. 21 SzOOP dla Działania III.2 Dorgi) w oparciu o zapisy art. 61 ust. 3 rozporządzenia ogólnego oraz rozdziału 8 </w:t>
      </w:r>
      <w:r w:rsidRPr="003116B0">
        <w:rPr>
          <w:rFonts w:ascii="Arial Narrow" w:hAnsi="Arial Narrow" w:cs="Arial"/>
          <w:bCs/>
          <w:i/>
          <w:color w:val="000000"/>
          <w:sz w:val="20"/>
          <w:szCs w:val="20"/>
        </w:rPr>
        <w:t xml:space="preserve">Wytycznych ministra </w:t>
      </w:r>
      <w:r w:rsidRPr="003116B0">
        <w:rPr>
          <w:rFonts w:ascii="Arial Narrow" w:hAnsi="Arial Narrow" w:cs="Arial"/>
          <w:bCs/>
          <w:i/>
          <w:color w:val="000000"/>
          <w:sz w:val="20"/>
          <w:szCs w:val="20"/>
        </w:rPr>
        <w:lastRenderedPageBreak/>
        <w:t xml:space="preserve">właściwego ds. rozwoju w zakresie zagadnień związanych z przygotowaniem projektów inwestycyjnych, w tym projektów generujących dochód i projektów hybrydowych na lata 2014-2020. </w:t>
      </w:r>
    </w:p>
    <w:p w:rsidR="00031C5E" w:rsidRPr="003116B0" w:rsidRDefault="00031C5E" w:rsidP="00031C5E">
      <w:pPr>
        <w:rPr>
          <w:rFonts w:ascii="Arial Narrow" w:hAnsi="Arial Narrow" w:cs="Arial"/>
          <w:bCs/>
          <w:color w:val="000000"/>
          <w:sz w:val="20"/>
          <w:szCs w:val="20"/>
        </w:rPr>
      </w:pPr>
      <w:r w:rsidRPr="003116B0">
        <w:rPr>
          <w:rFonts w:ascii="Arial Narrow" w:hAnsi="Arial Narrow" w:cs="Arial"/>
          <w:bCs/>
          <w:color w:val="000000"/>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031C5E" w:rsidRPr="003116B0" w:rsidRDefault="00031C5E" w:rsidP="00031C5E">
      <w:pPr>
        <w:rPr>
          <w:rFonts w:ascii="Arial Narrow" w:hAnsi="Arial Narrow" w:cs="Arial"/>
          <w:bCs/>
          <w:color w:val="000000"/>
          <w:sz w:val="20"/>
          <w:szCs w:val="20"/>
          <w:u w:val="single"/>
        </w:rPr>
      </w:pPr>
    </w:p>
    <w:p w:rsidR="00031C5E" w:rsidRPr="003116B0" w:rsidRDefault="00031C5E" w:rsidP="00031C5E">
      <w:pPr>
        <w:rPr>
          <w:rFonts w:ascii="Arial Narrow" w:hAnsi="Arial Narrow" w:cs="Arial"/>
          <w:bCs/>
          <w:color w:val="000000"/>
          <w:sz w:val="20"/>
          <w:szCs w:val="20"/>
        </w:rPr>
      </w:pPr>
      <w:r w:rsidRPr="003116B0">
        <w:rPr>
          <w:rFonts w:ascii="Arial Narrow" w:hAnsi="Arial Narrow" w:cs="Arial"/>
          <w:bCs/>
          <w:color w:val="000000"/>
          <w:sz w:val="20"/>
          <w:szCs w:val="20"/>
        </w:rPr>
        <w:t>„Wartość wydatków kwalifikowalnych przed uwzględnieniem dochodu” - należy podać wartość wydatków kwalifikowalnych zgodnie z zasadami dotyczącymi kwalifikowalności wydatków.</w:t>
      </w:r>
    </w:p>
    <w:p w:rsidR="00031C5E" w:rsidRPr="003116B0" w:rsidRDefault="00031C5E" w:rsidP="00031C5E">
      <w:pPr>
        <w:rPr>
          <w:rFonts w:ascii="Arial Narrow" w:hAnsi="Arial Narrow" w:cs="Arial"/>
          <w:bCs/>
          <w:color w:val="000000"/>
          <w:sz w:val="20"/>
          <w:szCs w:val="20"/>
        </w:rPr>
      </w:pPr>
      <w:r w:rsidRPr="003116B0">
        <w:rPr>
          <w:rFonts w:ascii="Arial Narrow" w:hAnsi="Arial Narrow" w:cs="Arial"/>
          <w:bCs/>
          <w:color w:val="000000"/>
          <w:sz w:val="20"/>
          <w:szCs w:val="20"/>
        </w:rPr>
        <w:t>„Wartość generowanego dochodu” oblicza się następująco: &lt;Wartość dochodu&gt; = &lt;Wydatki kwalifikowalne przed dochodem&gt; x (1 - &lt;Luka w finansowaniu (%)&gt;/100).</w:t>
      </w:r>
    </w:p>
    <w:p w:rsidR="00031C5E" w:rsidRPr="003116B0" w:rsidRDefault="00031C5E" w:rsidP="00031C5E">
      <w:pPr>
        <w:rPr>
          <w:rFonts w:ascii="Arial Narrow" w:hAnsi="Arial Narrow" w:cs="Arial"/>
          <w:bCs/>
          <w:color w:val="000000"/>
          <w:sz w:val="20"/>
          <w:szCs w:val="20"/>
        </w:rPr>
      </w:pPr>
      <w:r w:rsidRPr="003116B0">
        <w:rPr>
          <w:rFonts w:ascii="Arial Narrow" w:hAnsi="Arial Narrow" w:cs="Arial"/>
          <w:bCs/>
          <w:color w:val="000000"/>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031C5E" w:rsidRPr="003116B0" w:rsidRDefault="00031C5E" w:rsidP="00031C5E">
      <w:pPr>
        <w:rPr>
          <w:rFonts w:ascii="Arial Narrow" w:hAnsi="Arial Narrow" w:cs="Arial"/>
          <w:bCs/>
          <w:color w:val="000000"/>
          <w:sz w:val="20"/>
          <w:szCs w:val="20"/>
        </w:rPr>
      </w:pPr>
    </w:p>
    <w:p w:rsidR="00031C5E" w:rsidRPr="003116B0" w:rsidRDefault="00031C5E" w:rsidP="00031C5E">
      <w:pPr>
        <w:rPr>
          <w:rFonts w:ascii="Arial Narrow" w:hAnsi="Arial Narrow" w:cs="Arial"/>
          <w:b/>
          <w:bCs/>
          <w:color w:val="000000"/>
          <w:sz w:val="20"/>
          <w:szCs w:val="20"/>
          <w:u w:val="single"/>
        </w:rPr>
      </w:pPr>
      <w:r w:rsidRPr="003116B0">
        <w:rPr>
          <w:rFonts w:ascii="Arial Narrow" w:hAnsi="Arial Narrow" w:cs="Arial"/>
          <w:b/>
          <w:bCs/>
          <w:color w:val="000000"/>
          <w:sz w:val="20"/>
          <w:szCs w:val="20"/>
          <w:u w:val="single"/>
        </w:rPr>
        <w:t>Zgodnie z art.61 ust.1 Rozporządzenia Nr 1303/2013 oszczędności kosztów operacyjnych osiągnięte przez operację są traktowane jako dochody, chyba że są skompensowane równoważnym zmniejszeniem dotacji operacyjnych.</w:t>
      </w:r>
    </w:p>
    <w:p w:rsidR="00031C5E" w:rsidRPr="003116B0" w:rsidRDefault="00031C5E" w:rsidP="00031C5E">
      <w:pPr>
        <w:rPr>
          <w:rFonts w:ascii="Arial Narrow" w:hAnsi="Arial Narrow" w:cs="Arial"/>
          <w:b/>
          <w:bCs/>
          <w:color w:val="000000"/>
          <w:sz w:val="20"/>
          <w:szCs w:val="20"/>
          <w:u w:val="single"/>
        </w:rPr>
      </w:pPr>
    </w:p>
    <w:p w:rsidR="00031C5E" w:rsidRPr="003116B0" w:rsidRDefault="00031C5E" w:rsidP="00031C5E">
      <w:pPr>
        <w:rPr>
          <w:rFonts w:ascii="Arial Narrow" w:hAnsi="Arial Narrow" w:cs="Arial"/>
          <w:b/>
          <w:bCs/>
          <w:color w:val="000000"/>
          <w:sz w:val="20"/>
          <w:szCs w:val="20"/>
          <w:u w:val="single"/>
        </w:rPr>
      </w:pPr>
      <w:r w:rsidRPr="003116B0">
        <w:rPr>
          <w:rFonts w:ascii="Arial Narrow" w:hAnsi="Arial Narrow" w:cs="Arial"/>
          <w:b/>
          <w:bCs/>
          <w:color w:val="000000"/>
          <w:sz w:val="20"/>
          <w:szCs w:val="20"/>
          <w:u w:val="single"/>
        </w:rPr>
        <w:t>W przypadku projektu generującego dochód, w którym występuje jedna z form pomocy publicznej nieobjęta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031C5E" w:rsidRPr="003116B0" w:rsidRDefault="00031C5E" w:rsidP="00031C5E">
      <w:pPr>
        <w:rPr>
          <w:rFonts w:ascii="Arial Narrow" w:hAnsi="Arial Narrow" w:cs="Arial"/>
          <w:bCs/>
          <w:color w:val="000000"/>
          <w:sz w:val="20"/>
          <w:szCs w:val="20"/>
        </w:rPr>
      </w:pPr>
    </w:p>
    <w:p w:rsidR="00031C5E" w:rsidRPr="003116B0" w:rsidRDefault="00031C5E" w:rsidP="00031C5E">
      <w:pPr>
        <w:rPr>
          <w:rFonts w:ascii="Arial Narrow" w:hAnsi="Arial Narrow" w:cs="Arial"/>
          <w:b/>
          <w:bCs/>
          <w:color w:val="000000"/>
          <w:sz w:val="20"/>
          <w:szCs w:val="20"/>
          <w:u w:val="single"/>
        </w:rPr>
      </w:pPr>
      <w:r w:rsidRPr="003116B0">
        <w:rPr>
          <w:rFonts w:ascii="Arial Narrow" w:hAnsi="Arial Narrow" w:cs="Arial"/>
          <w:bCs/>
          <w:color w:val="000000"/>
          <w:sz w:val="20"/>
          <w:szCs w:val="20"/>
        </w:rPr>
        <w:t>Wnioskodawca stawia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 xml:space="preserve">Wyjątek w zakresie kwalifikowalności wydatku może dotyczyć </w:t>
      </w:r>
      <w:r w:rsidR="001E5AE2" w:rsidRPr="001E5AE2">
        <w:rPr>
          <w:rFonts w:ascii="Arial Narrow" w:hAnsi="Arial Narrow" w:cs="Arial"/>
          <w:sz w:val="20"/>
          <w:szCs w:val="20"/>
        </w:rPr>
        <w:lastRenderedPageBreak/>
        <w:t>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lastRenderedPageBreak/>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lastRenderedPageBreak/>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500860" w:rsidRPr="00500860" w:rsidRDefault="00E2649D" w:rsidP="00500860">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lastRenderedPageBreak/>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3A08F5" w:rsidRDefault="003A08F5"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 xml:space="preserve">Rozporządzenia Rady Ministrów z dnia 29 marca 2010 r. w sprawie zakresu informacji przedstawianych przez podmiot ubiegający </w:t>
      </w:r>
      <w:r w:rsidRPr="001D76E3">
        <w:rPr>
          <w:rFonts w:ascii="Arial Narrow" w:hAnsi="Arial Narrow" w:cs="Arial"/>
          <w:i/>
          <w:sz w:val="20"/>
          <w:szCs w:val="20"/>
        </w:rPr>
        <w:lastRenderedPageBreak/>
        <w:t>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p>
    <w:p w:rsidR="00853C2C" w:rsidRPr="00F26F84" w:rsidRDefault="00127558" w:rsidP="00127558">
      <w:pPr>
        <w:autoSpaceDE w:val="0"/>
        <w:autoSpaceDN w:val="0"/>
        <w:adjustRightInd w:val="0"/>
        <w:spacing w:before="120" w:line="276" w:lineRule="auto"/>
        <w:jc w:val="both"/>
        <w:rPr>
          <w:rFonts w:ascii="Arial Narrow" w:hAnsi="Arial Narrow" w:cs="Arial"/>
          <w:sz w:val="20"/>
          <w:szCs w:val="20"/>
        </w:rPr>
      </w:pPr>
      <w:r w:rsidRPr="00F26F84">
        <w:rPr>
          <w:rFonts w:ascii="Arial Narrow" w:hAnsi="Arial Narrow" w:cs="Arial"/>
          <w:sz w:val="20"/>
          <w:szCs w:val="20"/>
        </w:rPr>
        <w:t>W</w:t>
      </w:r>
      <w:r w:rsidR="00853C2C" w:rsidRPr="00F26F84">
        <w:rPr>
          <w:rFonts w:ascii="Arial Narrow" w:hAnsi="Arial Narrow" w:cs="Arial"/>
          <w:sz w:val="20"/>
          <w:szCs w:val="20"/>
        </w:rPr>
        <w:t xml:space="preserve"> przypadku gdy Wnioskodawca wskazuje w formularzu wniosku podatek VAT po stronie kosztów kwalifikowalnych, należy przedłożyć </w:t>
      </w:r>
      <w:r w:rsidR="00853C2C" w:rsidRPr="00F26F84">
        <w:rPr>
          <w:rFonts w:ascii="Arial Narrow" w:hAnsi="Arial Narrow" w:cs="Arial"/>
          <w:b/>
          <w:sz w:val="20"/>
          <w:szCs w:val="20"/>
        </w:rPr>
        <w:t xml:space="preserve">Oświadczenie VAT, </w:t>
      </w:r>
      <w:r w:rsidR="00853C2C" w:rsidRPr="00F26F84">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C96F35" w:rsidRPr="00F26F84" w:rsidRDefault="00C96F35" w:rsidP="00853C2C">
      <w:pPr>
        <w:autoSpaceDE w:val="0"/>
        <w:autoSpaceDN w:val="0"/>
        <w:adjustRightInd w:val="0"/>
        <w:spacing w:line="276" w:lineRule="auto"/>
        <w:jc w:val="both"/>
        <w:rPr>
          <w:rFonts w:ascii="Arial Narrow" w:hAnsi="Arial Narrow" w:cs="Arial"/>
          <w:sz w:val="20"/>
          <w:szCs w:val="20"/>
        </w:rPr>
      </w:pPr>
    </w:p>
    <w:p w:rsidR="000D6F22" w:rsidRDefault="00853C2C" w:rsidP="00853C2C">
      <w:pPr>
        <w:autoSpaceDE w:val="0"/>
        <w:autoSpaceDN w:val="0"/>
        <w:adjustRightInd w:val="0"/>
        <w:spacing w:line="276" w:lineRule="auto"/>
        <w:jc w:val="both"/>
        <w:rPr>
          <w:rFonts w:ascii="Arial Narrow" w:hAnsi="Arial Narrow" w:cs="Arial"/>
          <w:sz w:val="20"/>
          <w:szCs w:val="20"/>
        </w:rPr>
      </w:pPr>
      <w:r w:rsidRPr="00F26F84">
        <w:rPr>
          <w:rFonts w:ascii="Arial Narrow" w:hAnsi="Arial Narrow" w:cs="Arial"/>
          <w:b/>
          <w:sz w:val="20"/>
          <w:szCs w:val="20"/>
        </w:rPr>
        <w:t>W przypadku realizacji projektów partnerskich</w:t>
      </w:r>
      <w:r w:rsidRPr="00F26F84">
        <w:rPr>
          <w:rFonts w:ascii="Arial Narrow" w:hAnsi="Arial Narrow" w:cs="Arial"/>
          <w:sz w:val="20"/>
          <w:szCs w:val="20"/>
        </w:rPr>
        <w:t xml:space="preserve">, każdy z partnerów przedkłada również w/w załącznik. </w:t>
      </w:r>
      <w:r w:rsidR="00F26F84" w:rsidRPr="00F26F84">
        <w:rPr>
          <w:rFonts w:ascii="Arial Narrow" w:hAnsi="Arial Narrow" w:cs="Arial"/>
          <w:sz w:val="20"/>
          <w:szCs w:val="20"/>
        </w:rPr>
        <w:t xml:space="preserve">W przypadku, gdy w projekcie wskazano </w:t>
      </w:r>
      <w:r w:rsidR="00F26F84" w:rsidRPr="00F26F84">
        <w:rPr>
          <w:rFonts w:ascii="Arial Narrow" w:hAnsi="Arial Narrow" w:cs="Arial"/>
          <w:b/>
          <w:sz w:val="20"/>
          <w:szCs w:val="20"/>
        </w:rPr>
        <w:t>realizatora projektu</w:t>
      </w:r>
      <w:r w:rsidR="00F26F84" w:rsidRPr="00F26F84">
        <w:rPr>
          <w:rFonts w:ascii="Arial Narrow" w:hAnsi="Arial Narrow" w:cs="Arial"/>
          <w:sz w:val="20"/>
          <w:szCs w:val="20"/>
        </w:rPr>
        <w:t xml:space="preserve"> (w pkt. 3.5 formularza wniosku), ww. podmiot również p</w:t>
      </w:r>
      <w:r w:rsidR="00500860">
        <w:rPr>
          <w:rFonts w:ascii="Arial Narrow" w:hAnsi="Arial Narrow" w:cs="Arial"/>
          <w:sz w:val="20"/>
          <w:szCs w:val="20"/>
        </w:rPr>
        <w:t>rzedkłada poniższe oświadczeni</w:t>
      </w:r>
    </w:p>
    <w:p w:rsidR="000D6F22" w:rsidRDefault="000D6F22" w:rsidP="00853C2C">
      <w:pPr>
        <w:autoSpaceDE w:val="0"/>
        <w:autoSpaceDN w:val="0"/>
        <w:adjustRightInd w:val="0"/>
        <w:spacing w:line="276" w:lineRule="auto"/>
        <w:jc w:val="both"/>
        <w:rPr>
          <w:rFonts w:ascii="Arial Narrow" w:hAnsi="Arial Narrow" w:cs="Arial"/>
          <w:sz w:val="20"/>
          <w:szCs w:val="20"/>
        </w:rPr>
      </w:pPr>
    </w:p>
    <w:p w:rsidR="000D6F22" w:rsidRDefault="000D6F22" w:rsidP="00853C2C">
      <w:pPr>
        <w:autoSpaceDE w:val="0"/>
        <w:autoSpaceDN w:val="0"/>
        <w:adjustRightInd w:val="0"/>
        <w:spacing w:line="276" w:lineRule="auto"/>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-65981</wp:posOffset>
                </wp:positionH>
                <wp:positionV relativeFrom="paragraph">
                  <wp:posOffset>103092</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AB39B" id="Prostokąt 2" o:spid="_x0000_s1026" style="position:absolute;margin-left:-5.2pt;margin-top:8.1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" filled="f" strokecolor="black [3213]" strokeweight="2pt"/>
            </w:pict>
          </mc:Fallback>
        </mc:AlternateContent>
      </w:r>
    </w:p>
    <w:p w:rsidR="00853C2C" w:rsidRPr="00853C2C" w:rsidRDefault="00853C2C" w:rsidP="00853C2C">
      <w:pPr>
        <w:autoSpaceDE w:val="0"/>
        <w:autoSpaceDN w:val="0"/>
        <w:adjustRightInd w:val="0"/>
        <w:spacing w:line="276" w:lineRule="auto"/>
        <w:ind w:left="426" w:hanging="426"/>
        <w:jc w:val="center"/>
        <w:rPr>
          <w:rFonts w:ascii="Arial Narrow" w:hAnsi="Arial Narrow" w:cs="Arial"/>
          <w:b/>
          <w:sz w:val="20"/>
          <w:szCs w:val="20"/>
        </w:rPr>
      </w:pPr>
      <w:r w:rsidRPr="00853C2C">
        <w:rPr>
          <w:rFonts w:ascii="Arial Narrow" w:hAnsi="Arial Narrow" w:cs="Arial"/>
          <w:b/>
          <w:sz w:val="20"/>
          <w:szCs w:val="20"/>
        </w:rPr>
        <w:t>Oświadczenie VAT</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27558" w:rsidRPr="00C96F35" w:rsidRDefault="00853C2C" w:rsidP="00127558">
      <w:pPr>
        <w:autoSpaceDE w:val="0"/>
        <w:autoSpaceDN w:val="0"/>
        <w:adjustRightInd w:val="0"/>
        <w:spacing w:line="276" w:lineRule="auto"/>
        <w:ind w:left="426" w:hanging="426"/>
        <w:rPr>
          <w:rFonts w:ascii="Arial Narrow" w:hAnsi="Arial Narrow" w:cs="Arial"/>
          <w:sz w:val="20"/>
          <w:szCs w:val="20"/>
        </w:rPr>
      </w:pPr>
      <w:r w:rsidRPr="00C96F35">
        <w:rPr>
          <w:rFonts w:ascii="Arial Narrow" w:hAnsi="Arial Narrow" w:cs="Arial"/>
          <w:sz w:val="20"/>
          <w:szCs w:val="20"/>
        </w:rPr>
        <w:t>Nazwa i adres podmiotu</w:t>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Pr="00C96F35">
        <w:rPr>
          <w:rFonts w:ascii="Arial Narrow" w:hAnsi="Arial Narrow" w:cs="Arial"/>
          <w:sz w:val="20"/>
          <w:szCs w:val="20"/>
        </w:rPr>
        <w:tab/>
      </w:r>
      <w:r w:rsidR="00127558" w:rsidRPr="00C96F35">
        <w:rPr>
          <w:rFonts w:ascii="Arial Narrow" w:hAnsi="Arial Narrow" w:cs="Arial"/>
          <w:sz w:val="20"/>
          <w:szCs w:val="20"/>
        </w:rPr>
        <w:t>Miejsc</w:t>
      </w:r>
      <w:r w:rsidR="00127558">
        <w:rPr>
          <w:rFonts w:ascii="Arial Narrow" w:hAnsi="Arial Narrow" w:cs="Arial"/>
          <w:sz w:val="20"/>
          <w:szCs w:val="20"/>
        </w:rPr>
        <w:t>owość</w:t>
      </w:r>
      <w:r w:rsidR="00127558" w:rsidRPr="00C96F35">
        <w:rPr>
          <w:rFonts w:ascii="Arial Narrow" w:hAnsi="Arial Narrow" w:cs="Arial"/>
          <w:sz w:val="20"/>
          <w:szCs w:val="20"/>
        </w:rPr>
        <w:t>, data</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NIP …………………………………………</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C96F35" w:rsidRDefault="00853C2C" w:rsidP="00127558">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853C2C" w:rsidRPr="00127558"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C96F35">
        <w:rPr>
          <w:rFonts w:ascii="Arial Narrow" w:hAnsi="Arial Narrow" w:cs="Arial"/>
          <w:sz w:val="20"/>
          <w:szCs w:val="20"/>
        </w:rPr>
        <w:t xml:space="preserve">                                                                                                        </w:t>
      </w:r>
      <w:r w:rsidRPr="00127558">
        <w:rPr>
          <w:rFonts w:ascii="Arial Narrow" w:hAnsi="Arial Narrow" w:cs="Arial"/>
          <w:sz w:val="16"/>
          <w:szCs w:val="16"/>
        </w:rPr>
        <w:t>(tytuł projektu)</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iż zgodnie z ustawą z dnia 11.03.2004 r. o podatku od towarów i </w:t>
      </w:r>
      <w:r w:rsidR="00127558" w:rsidRPr="00C96F35">
        <w:rPr>
          <w:rFonts w:ascii="Arial Narrow" w:hAnsi="Arial Narrow" w:cs="Arial"/>
          <w:sz w:val="20"/>
          <w:szCs w:val="20"/>
        </w:rPr>
        <w:t>usług posiadam</w:t>
      </w:r>
      <w:r w:rsidR="00127558" w:rsidRPr="00C96F35">
        <w:rPr>
          <w:rFonts w:ascii="Arial Narrow" w:hAnsi="Arial Narrow" w:cs="Arial"/>
          <w:i/>
          <w:sz w:val="20"/>
          <w:szCs w:val="20"/>
        </w:rPr>
        <w:t xml:space="preserve"> / nie</w:t>
      </w:r>
      <w:r w:rsidRPr="00C96F35">
        <w:rPr>
          <w:rFonts w:ascii="Arial Narrow" w:hAnsi="Arial Narrow" w:cs="Arial"/>
          <w:i/>
          <w:sz w:val="20"/>
          <w:szCs w:val="20"/>
        </w:rPr>
        <w:t xml:space="preserve"> </w:t>
      </w:r>
      <w:r w:rsidR="00127558">
        <w:rPr>
          <w:rFonts w:ascii="Arial Narrow" w:hAnsi="Arial Narrow" w:cs="Arial"/>
          <w:i/>
          <w:sz w:val="20"/>
          <w:szCs w:val="20"/>
        </w:rPr>
        <w:t xml:space="preserve">posiadam¹ </w:t>
      </w:r>
      <w:r w:rsidRPr="00C96F35">
        <w:rPr>
          <w:rFonts w:ascii="Arial Narrow" w:hAnsi="Arial Narrow" w:cs="Arial"/>
          <w:sz w:val="20"/>
          <w:szCs w:val="20"/>
        </w:rPr>
        <w:t>status(u) czynnego podatnika VAT.</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4F660B" w:rsidP="00853C2C">
      <w:pPr>
        <w:autoSpaceDE w:val="0"/>
        <w:autoSpaceDN w:val="0"/>
        <w:adjustRightInd w:val="0"/>
        <w:spacing w:line="276" w:lineRule="auto"/>
        <w:ind w:left="426" w:hanging="426"/>
        <w:jc w:val="both"/>
        <w:rPr>
          <w:rFonts w:ascii="Arial Narrow" w:hAnsi="Arial Narrow" w:cs="Arial"/>
          <w:sz w:val="20"/>
          <w:szCs w:val="20"/>
        </w:rPr>
      </w:pPr>
      <w:r>
        <w:rPr>
          <w:rFonts w:ascii="Arial Narrow" w:hAnsi="Arial Narrow" w:cs="Arial"/>
          <w:sz w:val="20"/>
          <w:szCs w:val="20"/>
        </w:rPr>
        <w:t>W</w:t>
      </w:r>
      <w:r w:rsidR="00853C2C" w:rsidRPr="00C96F35">
        <w:rPr>
          <w:rFonts w:ascii="Arial Narrow" w:hAnsi="Arial Narrow" w:cs="Arial"/>
          <w:sz w:val="20"/>
          <w:szCs w:val="20"/>
        </w:rPr>
        <w:t xml:space="preserve"> związku z planowaną realizacją projektu ²:</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odzyskać ³ w całości VAT naliczony zawarty w cenach nabywanych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do częściowego odzyskania VAT naliczonego zawartego w cenach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xml:space="preserve">□ nie mam prawa do odzyskania VAT.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Uzasadnienie: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 odzyskiwania części podatku od towarów i usług oświadczam:</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zaistnienia okoliczności, w których będzie mi przysługiwać prawo do obniżenia kwoty podatku należnego o kwotę podatku naliczonego,</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lub</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w związku ze zmianą proporcji podatku odzyskiwanego</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że podatek od towarów i usług wypłacony </w:t>
      </w:r>
      <w:r w:rsidR="004F660B" w:rsidRPr="00C96F35">
        <w:rPr>
          <w:rFonts w:ascii="Arial Narrow" w:hAnsi="Arial Narrow" w:cs="Arial"/>
          <w:sz w:val="20"/>
          <w:szCs w:val="20"/>
        </w:rPr>
        <w:t>nienależnie jako</w:t>
      </w:r>
      <w:r w:rsidRPr="00C96F35">
        <w:rPr>
          <w:rFonts w:ascii="Arial Narrow" w:hAnsi="Arial Narrow" w:cs="Arial"/>
          <w:sz w:val="20"/>
          <w:szCs w:val="20"/>
        </w:rPr>
        <w:t xml:space="preserve"> koszt kwalifikowany zostanie zwrócony na zasadach określonych w umowie o dofinansowanie projektu.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w:t>
      </w: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(podpis i pieczątka)</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¹ Niepotrzebne skreślić</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² Zaznaczyć właściwą odpowiedź</w:t>
      </w:r>
    </w:p>
    <w:p w:rsidR="000D6F22" w:rsidRPr="00500860" w:rsidRDefault="00853C2C" w:rsidP="00500860">
      <w:pPr>
        <w:autoSpaceDE w:val="0"/>
        <w:autoSpaceDN w:val="0"/>
        <w:adjustRightInd w:val="0"/>
        <w:spacing w:line="276" w:lineRule="auto"/>
        <w:jc w:val="both"/>
        <w:rPr>
          <w:rFonts w:ascii="Arial Narrow" w:hAnsi="Arial Narrow" w:cs="Arial"/>
          <w:sz w:val="16"/>
          <w:szCs w:val="16"/>
        </w:rPr>
      </w:pPr>
      <w:r w:rsidRPr="00C96F35">
        <w:rPr>
          <w:rFonts w:ascii="Arial Narrow" w:hAnsi="Arial Narrow" w:cs="Arial"/>
          <w:sz w:val="20"/>
          <w:szCs w:val="20"/>
        </w:rPr>
        <w:t xml:space="preserve">³ </w:t>
      </w:r>
      <w:r w:rsidRPr="004F660B">
        <w:rPr>
          <w:rFonts w:ascii="Arial Narrow" w:hAnsi="Arial Narrow" w:cs="Arial"/>
          <w:sz w:val="16"/>
          <w:szCs w:val="16"/>
        </w:rPr>
        <w:t>VAT „odzyskiwany” w rozumieniu przepisów DZIAŁU IX -odliczenie i zwrot podatku, Rozdział 1 Odliczenie i zwrot podatku i Rozdział 2 Odliczanie częściowe podatku oraz korekta podatku naliczonego Ustawa z dnia 11 marca 2004 r. o podatku od towarów i usług ( t.j. Dz.</w:t>
      </w:r>
      <w:r w:rsidR="00500860">
        <w:rPr>
          <w:rFonts w:ascii="Arial Narrow" w:hAnsi="Arial Narrow" w:cs="Arial"/>
          <w:sz w:val="16"/>
          <w:szCs w:val="16"/>
        </w:rPr>
        <w:t xml:space="preserve"> U. z  2017 r. poz. 1221 ze </w:t>
      </w: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lastRenderedPageBreak/>
        <w:t>AD. ZAŁĄCZNIK NR 8 - WZÓR OŚWIADCZENIA WNIOSKODAWCY O ZACHOWANIU CELÓW PROJEKTU ZGODNYCH Z WNIOSKIEM O DOFINANSOWANIE PROJEKTU.</w:t>
      </w:r>
    </w:p>
    <w:p w:rsidR="00435A38" w:rsidRPr="001D76E3"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8D69D8" w:rsidRPr="001D76E3" w:rsidRDefault="008D69D8" w:rsidP="001D76E3">
      <w:pPr>
        <w:spacing w:line="276" w:lineRule="auto"/>
        <w:rPr>
          <w:rFonts w:ascii="Arial Narrow" w:hAnsi="Arial Narrow" w:cs="Arial"/>
          <w:b/>
          <w:sz w:val="20"/>
          <w:szCs w:val="20"/>
        </w:rPr>
      </w:pP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rsidR="00A67D47" w:rsidRDefault="00A67D47" w:rsidP="003A08F5">
      <w:pPr>
        <w:spacing w:line="276" w:lineRule="auto"/>
        <w:ind w:left="426" w:hanging="426"/>
        <w:rPr>
          <w:rFonts w:ascii="Arial Narrow" w:hAnsi="Arial Narrow" w:cs="Arial"/>
          <w:b/>
          <w:sz w:val="20"/>
          <w:szCs w:val="20"/>
        </w:rPr>
      </w:pPr>
    </w:p>
    <w:p w:rsidR="00A67D47" w:rsidRDefault="00A67D47" w:rsidP="003A08F5">
      <w:pPr>
        <w:spacing w:line="276" w:lineRule="auto"/>
        <w:ind w:left="426" w:hanging="426"/>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rsidR="00435A38" w:rsidRDefault="00435A38" w:rsidP="003A08F5">
      <w:pPr>
        <w:spacing w:line="276" w:lineRule="auto"/>
        <w:ind w:left="426" w:hanging="426"/>
        <w:rPr>
          <w:rFonts w:ascii="Arial Narrow" w:hAnsi="Arial Narrow" w:cs="Arial"/>
          <w:b/>
          <w:sz w:val="20"/>
          <w:szCs w:val="20"/>
        </w:rPr>
      </w:pP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5A0F26" w:rsidRPr="001D76E3" w:rsidRDefault="005A0F26" w:rsidP="001D76E3">
      <w:pPr>
        <w:spacing w:line="276" w:lineRule="auto"/>
        <w:jc w:val="both"/>
        <w:rPr>
          <w:rFonts w:ascii="Arial Narrow" w:hAnsi="Arial Narrow" w:cs="Arial"/>
          <w:sz w:val="20"/>
          <w:szCs w:val="20"/>
        </w:rPr>
      </w:pPr>
    </w:p>
    <w:p w:rsidR="008D7CEE" w:rsidRDefault="008D7CEE"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Default="002D0A66" w:rsidP="001D76E3">
      <w:pPr>
        <w:spacing w:line="276" w:lineRule="auto"/>
        <w:jc w:val="both"/>
        <w:rPr>
          <w:rFonts w:ascii="Arial Narrow" w:hAnsi="Arial Narrow" w:cs="Arial"/>
          <w:sz w:val="20"/>
          <w:szCs w:val="20"/>
        </w:rPr>
      </w:pP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lastRenderedPageBreak/>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w:t>
      </w:r>
      <w:r w:rsidRPr="009B26F3">
        <w:rPr>
          <w:rFonts w:ascii="Arial Narrow" w:hAnsi="Arial Narrow" w:cs="Arial"/>
          <w:sz w:val="20"/>
          <w:szCs w:val="20"/>
          <w:lang w:val="x-none"/>
        </w:rPr>
        <w:lastRenderedPageBreak/>
        <w:t>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9B26F3" w:rsidRDefault="009B26F3" w:rsidP="00010E86">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9B26F3">
      <w:pPr>
        <w:spacing w:line="276" w:lineRule="auto"/>
        <w:jc w:val="both"/>
        <w:rPr>
          <w:rFonts w:ascii="Arial Narrow" w:hAnsi="Arial Narrow" w:cs="Arial"/>
          <w:b/>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lastRenderedPageBreak/>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2D0A66" w:rsidRDefault="002D0A66"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lastRenderedPageBreak/>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w:t>
            </w:r>
            <w:r w:rsidRPr="008704C2">
              <w:rPr>
                <w:rFonts w:ascii="Arial Narrow" w:eastAsia="Calibri" w:hAnsi="Arial Narrow" w:cs="Arial"/>
                <w:color w:val="000000"/>
                <w:sz w:val="20"/>
                <w:szCs w:val="20"/>
                <w:lang w:eastAsia="en-US"/>
              </w:rPr>
              <w:lastRenderedPageBreak/>
              <w:t xml:space="preserve">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 xml:space="preserve">opinię Komisji zgodnie z art. 6 ust. 4 dyrektywy siedliskowej w przypadku projektów mających istotny wpływ na siedliska lub gatunki o znaczeniu priorytetowym, które są uzasadnione tak ważnymi względami jak nadrzędny </w:t>
      </w:r>
      <w:r w:rsidRPr="008704C2">
        <w:rPr>
          <w:rFonts w:ascii="Arial Narrow" w:hAnsi="Arial Narrow" w:cs="Arial"/>
          <w:sz w:val="20"/>
          <w:szCs w:val="20"/>
          <w:lang w:eastAsia="en-GB"/>
        </w:rPr>
        <w:lastRenderedPageBreak/>
        <w:t>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transp. art. 9 Ramowej Dyrektywy Wodnej).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 nieinfrastrukturalne (jak na przykład wskazane w zapytaniu działania zakupowe, nie związane z ingerencją w środowisko),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w:t>
            </w:r>
            <w:r w:rsidRPr="008704C2">
              <w:rPr>
                <w:rFonts w:ascii="Arial Narrow" w:eastAsia="Calibri" w:hAnsi="Arial Narrow" w:cs="Arial"/>
                <w:color w:val="000000"/>
                <w:sz w:val="20"/>
                <w:szCs w:val="20"/>
                <w:lang w:eastAsia="en-US"/>
              </w:rPr>
              <w:lastRenderedPageBreak/>
              <w:t xml:space="preserve">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w:t>
            </w:r>
            <w:r w:rsidRPr="008704C2">
              <w:rPr>
                <w:rFonts w:ascii="Arial Narrow" w:hAnsi="Arial Narrow" w:cs="Arial"/>
                <w:sz w:val="20"/>
                <w:szCs w:val="20"/>
                <w:lang w:eastAsia="en-GB"/>
              </w:rPr>
              <w:lastRenderedPageBreak/>
              <w:t>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lastRenderedPageBreak/>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w:t>
            </w:r>
            <w:r w:rsidRPr="008704C2">
              <w:rPr>
                <w:rFonts w:ascii="Arial Narrow" w:eastAsia="Calibri" w:hAnsi="Arial Narrow" w:cs="Arial"/>
                <w:color w:val="000000"/>
                <w:sz w:val="20"/>
                <w:szCs w:val="20"/>
                <w:lang w:eastAsia="en-US"/>
              </w:rPr>
              <w:lastRenderedPageBreak/>
              <w:t xml:space="preserve">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w:t>
            </w:r>
            <w:r w:rsidRPr="008704C2">
              <w:rPr>
                <w:rFonts w:ascii="Arial Narrow" w:hAnsi="Arial Narrow" w:cs="Arial"/>
                <w:sz w:val="20"/>
                <w:szCs w:val="20"/>
              </w:rPr>
              <w:lastRenderedPageBreak/>
              <w:t xml:space="preserve">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E036BF" w:rsidRDefault="00E036BF" w:rsidP="008704C2">
      <w:pPr>
        <w:spacing w:after="120" w:line="276" w:lineRule="auto"/>
        <w:jc w:val="both"/>
        <w:rPr>
          <w:rFonts w:ascii="Arial Narrow" w:hAnsi="Arial Narrow" w:cs="Arial"/>
          <w:b/>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8704C2" w:rsidRPr="008704C2" w:rsidRDefault="008704C2" w:rsidP="008704C2">
      <w:pPr>
        <w:spacing w:line="276" w:lineRule="auto"/>
        <w:jc w:val="both"/>
        <w:rPr>
          <w:rFonts w:ascii="Arial Narrow" w:hAnsi="Arial Narrow" w:cs="Arial"/>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E036BF" w:rsidRDefault="008704C2" w:rsidP="002D0A66">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2D0A66" w:rsidRDefault="002D0A6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lastRenderedPageBreak/>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5A0F26" w:rsidRPr="001D76E3" w:rsidRDefault="005A0F26" w:rsidP="001D76E3">
      <w:pPr>
        <w:spacing w:line="276" w:lineRule="auto"/>
        <w:rPr>
          <w:rFonts w:ascii="Arial Narrow" w:hAnsi="Arial Narrow" w:cs="Arial"/>
          <w:sz w:val="20"/>
          <w:szCs w:val="20"/>
        </w:rPr>
      </w:pPr>
    </w:p>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E036BF" w:rsidRDefault="00E036BF" w:rsidP="001D76E3">
      <w:pPr>
        <w:spacing w:line="276" w:lineRule="auto"/>
        <w:rPr>
          <w:rFonts w:ascii="Arial Narrow" w:hAnsi="Arial Narrow" w:cs="Arial"/>
          <w:sz w:val="20"/>
          <w:szCs w:val="20"/>
        </w:rPr>
      </w:pPr>
    </w:p>
    <w:p w:rsidR="00BE1D8F" w:rsidRPr="001D76E3" w:rsidRDefault="00BE1D8F"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rsidR="00B82E48" w:rsidRDefault="00B82E48" w:rsidP="001D76E3">
      <w:pPr>
        <w:spacing w:line="276" w:lineRule="auto"/>
        <w:rPr>
          <w:rFonts w:ascii="Arial Narrow" w:hAnsi="Arial Narrow" w:cs="Arial"/>
          <w:sz w:val="20"/>
          <w:szCs w:val="20"/>
        </w:rPr>
      </w:pPr>
    </w:p>
    <w:p w:rsidR="002D0A66" w:rsidRDefault="002D0A66" w:rsidP="001D76E3">
      <w:pPr>
        <w:spacing w:line="276" w:lineRule="auto"/>
        <w:rPr>
          <w:rFonts w:ascii="Arial Narrow" w:hAnsi="Arial Narrow" w:cs="Arial"/>
          <w:sz w:val="20"/>
          <w:szCs w:val="20"/>
        </w:rPr>
      </w:pPr>
    </w:p>
    <w:p w:rsidR="002D0A66" w:rsidRDefault="002D0A66" w:rsidP="001D76E3">
      <w:pPr>
        <w:spacing w:line="276" w:lineRule="auto"/>
        <w:rPr>
          <w:rFonts w:ascii="Arial Narrow" w:hAnsi="Arial Narrow" w:cs="Arial"/>
          <w:sz w:val="20"/>
          <w:szCs w:val="20"/>
        </w:rPr>
      </w:pPr>
    </w:p>
    <w:p w:rsidR="002D0A66" w:rsidRDefault="002D0A66" w:rsidP="001D76E3">
      <w:pPr>
        <w:spacing w:line="276" w:lineRule="auto"/>
        <w:rPr>
          <w:rFonts w:ascii="Arial Narrow" w:hAnsi="Arial Narrow" w:cs="Arial"/>
          <w:sz w:val="20"/>
          <w:szCs w:val="20"/>
        </w:rPr>
      </w:pPr>
    </w:p>
    <w:p w:rsidR="002D0A66" w:rsidRDefault="002D0A66" w:rsidP="001D76E3">
      <w:pPr>
        <w:spacing w:line="276" w:lineRule="auto"/>
        <w:rPr>
          <w:rFonts w:ascii="Arial Narrow" w:hAnsi="Arial Narrow" w:cs="Arial"/>
          <w:sz w:val="20"/>
          <w:szCs w:val="20"/>
        </w:rPr>
      </w:pPr>
    </w:p>
    <w:p w:rsidR="002D0A66" w:rsidRPr="001D76E3" w:rsidRDefault="002D0A66" w:rsidP="001D76E3">
      <w:pPr>
        <w:spacing w:line="276" w:lineRule="auto"/>
        <w:rPr>
          <w:rFonts w:ascii="Arial Narrow" w:hAnsi="Arial Narrow" w:cs="Arial"/>
          <w:sz w:val="20"/>
          <w:szCs w:val="20"/>
        </w:rPr>
      </w:pPr>
    </w:p>
    <w:p w:rsidR="00544C0C" w:rsidRPr="001D76E3" w:rsidRDefault="00544C0C" w:rsidP="001D76E3">
      <w:pPr>
        <w:pStyle w:val="Default"/>
        <w:spacing w:line="276" w:lineRule="auto"/>
        <w:rPr>
          <w:rFonts w:ascii="Arial Narrow" w:hAnsi="Arial Narrow" w:cs="Arial"/>
          <w:b/>
          <w:color w:val="auto"/>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lastRenderedPageBreak/>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jc w:val="right"/>
        <w:rPr>
          <w:rFonts w:ascii="Arial Narrow" w:hAnsi="Arial Narrow" w:cs="Arial"/>
          <w:b/>
          <w:color w:val="auto"/>
          <w:sz w:val="20"/>
          <w:szCs w:val="20"/>
        </w:rPr>
      </w:pP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wyroku wydanym w sprawie Altmark Trans GmbH i Regierungspräsidium Magdeburg przeciwko Nahverkehrsgesellschaft Altmark GmbH (Altmark) (Sprawa C-280/00 Altmark) Trybunał Sprawiedliwości Unii Europejskiej orzekł, że rekompensata z </w:t>
            </w:r>
            <w:r w:rsidRPr="001D76E3">
              <w:rPr>
                <w:rFonts w:ascii="Arial Narrow" w:hAnsi="Arial Narrow" w:cs="Arial"/>
                <w:sz w:val="20"/>
                <w:szCs w:val="20"/>
                <w:lang w:eastAsia="en-US"/>
              </w:rPr>
              <w:lastRenderedPageBreak/>
              <w:t>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w:t>
      </w:r>
      <w:r w:rsidRPr="001D76E3">
        <w:rPr>
          <w:rFonts w:ascii="Arial Narrow" w:hAnsi="Arial Narrow" w:cs="Arial"/>
          <w:sz w:val="20"/>
          <w:szCs w:val="20"/>
        </w:rPr>
        <w:lastRenderedPageBreak/>
        <w:t xml:space="preserve">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w:t>
      </w:r>
      <w:r w:rsidRPr="001D76E3">
        <w:rPr>
          <w:rFonts w:ascii="Arial Narrow" w:hAnsi="Arial Narrow" w:cs="Arial"/>
          <w:b/>
          <w:sz w:val="20"/>
          <w:szCs w:val="20"/>
          <w:lang w:eastAsia="en-US"/>
        </w:rPr>
        <w:lastRenderedPageBreak/>
        <w:t>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lastRenderedPageBreak/>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lastRenderedPageBreak/>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w:t>
      </w:r>
      <w:r w:rsidRPr="001D76E3">
        <w:rPr>
          <w:rFonts w:ascii="Arial Narrow" w:hAnsi="Arial Narrow" w:cs="Arial"/>
          <w:sz w:val="20"/>
          <w:szCs w:val="20"/>
          <w:lang w:eastAsia="en-US"/>
        </w:rPr>
        <w:lastRenderedPageBreak/>
        <w:t xml:space="preserve">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xml:space="preserve">” w rozumieniu art. 2 ust. 2 rozporządzenia Komisji (UE) nr 1407/2013 z dnia 18 </w:t>
      </w:r>
      <w:r w:rsidRPr="001D76E3">
        <w:rPr>
          <w:rFonts w:ascii="Arial Narrow" w:hAnsi="Arial Narrow" w:cs="Arial"/>
          <w:i/>
          <w:sz w:val="20"/>
          <w:szCs w:val="20"/>
        </w:rPr>
        <w:lastRenderedPageBreak/>
        <w:t>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p>
    <w:p w:rsidR="00B82E48" w:rsidRPr="001D76E3" w:rsidRDefault="00A11A18" w:rsidP="001D76E3">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BA7514" w:rsidRDefault="00BA7514"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4A423D" w:rsidRPr="00F6494C" w:rsidRDefault="004A423D" w:rsidP="000D6F22">
      <w:pPr>
        <w:pStyle w:val="Nagwek1"/>
        <w:spacing w:before="63" w:line="276" w:lineRule="auto"/>
        <w:ind w:right="1688"/>
        <w:rPr>
          <w:rFonts w:ascii="Arial Narrow" w:hAnsi="Arial Narrow" w:cs="Arial"/>
          <w:sz w:val="20"/>
          <w:szCs w:val="20"/>
        </w:rPr>
      </w:pPr>
    </w:p>
    <w:sectPr w:rsidR="004A423D" w:rsidRPr="00F6494C" w:rsidSect="00F07DF6">
      <w:footerReference w:type="default" r:id="rId44"/>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041" w:rsidRDefault="00AA5041" w:rsidP="00512F18">
      <w:r>
        <w:separator/>
      </w:r>
    </w:p>
  </w:endnote>
  <w:endnote w:type="continuationSeparator" w:id="0">
    <w:p w:rsidR="00AA5041" w:rsidRDefault="00AA5041"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143432"/>
      <w:docPartObj>
        <w:docPartGallery w:val="Page Numbers (Bottom of Page)"/>
        <w:docPartUnique/>
      </w:docPartObj>
    </w:sdtPr>
    <w:sdtEndPr/>
    <w:sdtContent>
      <w:p w:rsidR="00AA5041" w:rsidRDefault="00AA5041">
        <w:pPr>
          <w:pStyle w:val="Stopka"/>
          <w:jc w:val="right"/>
        </w:pPr>
        <w:r>
          <w:fldChar w:fldCharType="begin"/>
        </w:r>
        <w:r>
          <w:instrText>PAGE   \* MERGEFORMAT</w:instrText>
        </w:r>
        <w:r>
          <w:fldChar w:fldCharType="separate"/>
        </w:r>
        <w:r w:rsidR="0034099C">
          <w:rPr>
            <w:noProof/>
          </w:rPr>
          <w:t>1</w:t>
        </w:r>
        <w:r>
          <w:rPr>
            <w:noProof/>
          </w:rPr>
          <w:fldChar w:fldCharType="end"/>
        </w:r>
      </w:p>
    </w:sdtContent>
  </w:sdt>
  <w:p w:rsidR="00AA5041" w:rsidRDefault="00AA5041">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041" w:rsidRDefault="00AA5041" w:rsidP="00512F18">
      <w:r>
        <w:separator/>
      </w:r>
    </w:p>
  </w:footnote>
  <w:footnote w:type="continuationSeparator" w:id="0">
    <w:p w:rsidR="00AA5041" w:rsidRDefault="00AA5041" w:rsidP="00512F18">
      <w:r>
        <w:continuationSeparator/>
      </w:r>
    </w:p>
  </w:footnote>
  <w:footnote w:id="1">
    <w:p w:rsidR="00AA5041" w:rsidRPr="00446D48" w:rsidRDefault="00AA5041"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AA5041" w:rsidRPr="00446D48" w:rsidRDefault="00AA5041"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AA5041" w:rsidRPr="00446D48" w:rsidRDefault="00AA5041"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AA5041" w:rsidRPr="00446D48" w:rsidRDefault="00AA5041"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AA5041" w:rsidRPr="00A55F49" w:rsidRDefault="00AA5041"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AA5041" w:rsidRDefault="00AA5041"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AA5041" w:rsidRDefault="00AA5041"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AA5041" w:rsidRDefault="00AA5041"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AA5041" w:rsidRDefault="00AA5041"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AA5041" w:rsidRPr="004F33F2" w:rsidRDefault="00AA5041"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AA5041" w:rsidRDefault="00AA5041"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AA5041" w:rsidRDefault="00AA5041"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AA5041" w:rsidRDefault="00AA5041"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AA5041" w:rsidRDefault="00AA5041"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AA5041" w:rsidRPr="003907E0" w:rsidRDefault="00AA5041"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AA5041" w:rsidRDefault="00AA5041"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AA5041" w:rsidRDefault="00AA5041"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AA5041" w:rsidRDefault="00AA5041"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AA5041" w:rsidRDefault="00AA5041"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AA5041" w:rsidRPr="00CA4D66" w:rsidRDefault="00AA5041"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AA5041" w:rsidRDefault="0034099C" w:rsidP="008704C2">
      <w:pPr>
        <w:pStyle w:val="Tekstprzypisudolnego"/>
        <w:jc w:val="both"/>
      </w:pPr>
      <w:hyperlink r:id="rId2" w:history="1">
        <w:r w:rsidR="00AA5041" w:rsidRPr="00F66CF3">
          <w:rPr>
            <w:rStyle w:val="Hipercze"/>
            <w:rFonts w:ascii="Arial" w:hAnsi="Arial" w:cs="Arial"/>
            <w:sz w:val="18"/>
            <w:szCs w:val="18"/>
          </w:rPr>
          <w:t>http://ec.europa.eu/clima/policies/adaptation/what/docs/non_paper_guidelines_project_managers_en.pdf</w:t>
        </w:r>
      </w:hyperlink>
      <w:r w:rsidR="00AA5041"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AA5041" w:rsidRPr="00F66CF3">
          <w:rPr>
            <w:rStyle w:val="Hipercze"/>
            <w:rFonts w:ascii="Arial" w:hAnsi="Arial" w:cs="Arial"/>
            <w:sz w:val="18"/>
            <w:szCs w:val="18"/>
          </w:rPr>
          <w:t>http://ec.europa.eu/environment/eia/home.htm</w:t>
        </w:r>
      </w:hyperlink>
      <w:r w:rsidR="00AA5041" w:rsidRPr="00CA4D66">
        <w:rPr>
          <w:rFonts w:ascii="Arial" w:hAnsi="Arial" w:cs="Arial"/>
          <w:color w:val="000000"/>
          <w:sz w:val="18"/>
          <w:szCs w:val="18"/>
        </w:rPr>
        <w:t xml:space="preserve"> </w:t>
      </w:r>
      <w:r w:rsidR="00AA5041" w:rsidRPr="00CA4D66">
        <w:rPr>
          <w:rFonts w:ascii="Arial" w:hAnsi="Arial" w:cs="Arial"/>
          <w:color w:val="000000"/>
          <w:sz w:val="24"/>
          <w:szCs w:val="24"/>
        </w:rPr>
        <w:t xml:space="preserve"> </w:t>
      </w:r>
    </w:p>
  </w:footnote>
  <w:footnote w:id="20">
    <w:p w:rsidR="00AA5041" w:rsidRPr="00CA4D66" w:rsidRDefault="00AA5041"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AA5041" w:rsidRDefault="00AA5041"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AA5041" w:rsidRPr="004054B5" w:rsidRDefault="00AA504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AA5041" w:rsidRPr="004054B5" w:rsidRDefault="00AA504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AA5041" w:rsidRPr="004054B5" w:rsidRDefault="00AA504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AA5041" w:rsidRPr="004054B5" w:rsidRDefault="00AA504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AA5041" w:rsidRPr="004054B5" w:rsidRDefault="00AA504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AA5041" w:rsidRPr="004054B5" w:rsidRDefault="00AA504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AA5041" w:rsidRPr="004054B5" w:rsidRDefault="00AA504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AA5041" w:rsidRDefault="00AA5041"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AA5041" w:rsidRPr="00F26BB8" w:rsidRDefault="00AA5041"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AA5041" w:rsidRPr="00F26BB8" w:rsidRDefault="00AA5041"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AA5041" w:rsidRDefault="00AA5041"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AA5041" w:rsidRDefault="00AA5041"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AA5041" w:rsidRDefault="00AA5041"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AA5041" w:rsidRDefault="00AA5041"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AA5041" w:rsidRPr="004054B5" w:rsidRDefault="00AA5041"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AA5041" w:rsidRPr="004054B5" w:rsidRDefault="00AA504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AA5041" w:rsidRPr="008D5991" w:rsidRDefault="00AA5041"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AA5041" w:rsidRPr="008D5991" w:rsidRDefault="00AA5041"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AA5041" w:rsidRPr="006B6FC2" w:rsidRDefault="00AA5041"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AA5041" w:rsidRPr="006B6FC2" w:rsidRDefault="00AA5041"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AA5041" w:rsidRPr="0079193E" w:rsidRDefault="00AA5041"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AA5041" w:rsidRPr="004054B5" w:rsidRDefault="00AA504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AA5041" w:rsidRPr="004054B5" w:rsidRDefault="00AA504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AA5041" w:rsidRPr="004054B5" w:rsidRDefault="00AA504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AA5041" w:rsidRPr="004054B5" w:rsidRDefault="00AA504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AA5041" w:rsidRPr="004054B5" w:rsidRDefault="00AA504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AA5041" w:rsidRPr="004054B5" w:rsidRDefault="00AA504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AA5041" w:rsidRPr="004054B5" w:rsidRDefault="00AA5041"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AA5041" w:rsidRPr="004054B5" w:rsidRDefault="00AA5041"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AA5041" w:rsidRPr="004054B5" w:rsidRDefault="00AA5041"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AA5041" w:rsidRPr="004054B5" w:rsidRDefault="00AA5041"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AA5041" w:rsidRPr="004054B5" w:rsidRDefault="00AA5041"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AA5041" w:rsidRPr="004054B5" w:rsidRDefault="00AA5041"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AA5041" w:rsidRPr="004054B5" w:rsidRDefault="00AA504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AA5041" w:rsidRPr="004054B5" w:rsidRDefault="00AA504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AA5041" w:rsidRDefault="00AA5041" w:rsidP="00BC0DE5">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3"/>
  </w:num>
  <w:num w:numId="40">
    <w:abstractNumId w:val="29"/>
  </w:num>
  <w:num w:numId="41">
    <w:abstractNumId w:val="54"/>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5"/>
  </w:num>
  <w:num w:numId="51">
    <w:abstractNumId w:val="23"/>
  </w:num>
  <w:num w:numId="52">
    <w:abstractNumId w:val="56"/>
  </w:num>
  <w:num w:numId="53">
    <w:abstractNumId w:val="49"/>
  </w:num>
  <w:num w:numId="54">
    <w:abstractNumId w:val="5"/>
  </w:num>
  <w:num w:numId="55">
    <w:abstractNumId w:val="25"/>
  </w:num>
  <w:num w:numId="56">
    <w:abstractNumId w:val="43"/>
  </w:num>
  <w:num w:numId="57">
    <w:abstractNumId w:val="50"/>
  </w:num>
  <w:num w:numId="58">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C16"/>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E175F"/>
    <w:rsid w:val="000E2EF7"/>
    <w:rsid w:val="000E43DA"/>
    <w:rsid w:val="000E713B"/>
    <w:rsid w:val="000E7769"/>
    <w:rsid w:val="000F295F"/>
    <w:rsid w:val="000F43D8"/>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1CE3"/>
    <w:rsid w:val="002927DE"/>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0A66"/>
    <w:rsid w:val="002D2D36"/>
    <w:rsid w:val="002D5013"/>
    <w:rsid w:val="002E0148"/>
    <w:rsid w:val="002E2471"/>
    <w:rsid w:val="002E37B4"/>
    <w:rsid w:val="002E3A15"/>
    <w:rsid w:val="002E55D9"/>
    <w:rsid w:val="002E6007"/>
    <w:rsid w:val="002E6219"/>
    <w:rsid w:val="002F1CCC"/>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99C"/>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2AB5"/>
    <w:rsid w:val="0040446D"/>
    <w:rsid w:val="0040514A"/>
    <w:rsid w:val="004054B5"/>
    <w:rsid w:val="0040734D"/>
    <w:rsid w:val="0041180F"/>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3674"/>
    <w:rsid w:val="00444947"/>
    <w:rsid w:val="00454032"/>
    <w:rsid w:val="00454AA0"/>
    <w:rsid w:val="0045751B"/>
    <w:rsid w:val="00460788"/>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D5869"/>
    <w:rsid w:val="004E099A"/>
    <w:rsid w:val="004E47D5"/>
    <w:rsid w:val="004E53AE"/>
    <w:rsid w:val="004E780C"/>
    <w:rsid w:val="004E7D36"/>
    <w:rsid w:val="004E7D53"/>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52E3"/>
    <w:rsid w:val="00587508"/>
    <w:rsid w:val="00590EAC"/>
    <w:rsid w:val="005920AA"/>
    <w:rsid w:val="00594F61"/>
    <w:rsid w:val="00597543"/>
    <w:rsid w:val="005978D7"/>
    <w:rsid w:val="005979D8"/>
    <w:rsid w:val="005A0ABC"/>
    <w:rsid w:val="005A0F26"/>
    <w:rsid w:val="005A24C8"/>
    <w:rsid w:val="005A534D"/>
    <w:rsid w:val="005A7D79"/>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66F74"/>
    <w:rsid w:val="006709CE"/>
    <w:rsid w:val="006712F3"/>
    <w:rsid w:val="00673065"/>
    <w:rsid w:val="00673598"/>
    <w:rsid w:val="006750D9"/>
    <w:rsid w:val="0067589A"/>
    <w:rsid w:val="00676DD7"/>
    <w:rsid w:val="0067723F"/>
    <w:rsid w:val="006825E8"/>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7EAC"/>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625"/>
    <w:rsid w:val="00951A50"/>
    <w:rsid w:val="00951A68"/>
    <w:rsid w:val="009523F7"/>
    <w:rsid w:val="0095362D"/>
    <w:rsid w:val="009540E9"/>
    <w:rsid w:val="00955370"/>
    <w:rsid w:val="00955670"/>
    <w:rsid w:val="00955F48"/>
    <w:rsid w:val="00960F55"/>
    <w:rsid w:val="009611AD"/>
    <w:rsid w:val="00961277"/>
    <w:rsid w:val="00961D94"/>
    <w:rsid w:val="00961F8B"/>
    <w:rsid w:val="00962182"/>
    <w:rsid w:val="00963CDC"/>
    <w:rsid w:val="00965B18"/>
    <w:rsid w:val="0097212A"/>
    <w:rsid w:val="00972325"/>
    <w:rsid w:val="0097298B"/>
    <w:rsid w:val="00972A03"/>
    <w:rsid w:val="00972FCB"/>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474AF"/>
    <w:rsid w:val="00B51088"/>
    <w:rsid w:val="00B5737E"/>
    <w:rsid w:val="00B57CB7"/>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4C7A"/>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D009E8"/>
    <w:rsid w:val="00D02A2F"/>
    <w:rsid w:val="00D04B1F"/>
    <w:rsid w:val="00D05942"/>
    <w:rsid w:val="00D12606"/>
    <w:rsid w:val="00D14346"/>
    <w:rsid w:val="00D219A4"/>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0DB8"/>
    <w:rsid w:val="00D71ED5"/>
    <w:rsid w:val="00D725BE"/>
    <w:rsid w:val="00D72D86"/>
    <w:rsid w:val="00D7656E"/>
    <w:rsid w:val="00D7658D"/>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0266"/>
    <w:rsid w:val="00E4227B"/>
    <w:rsid w:val="00E43AC9"/>
    <w:rsid w:val="00E43B8B"/>
    <w:rsid w:val="00E465FF"/>
    <w:rsid w:val="00E46B9C"/>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E29"/>
    <w:rsid w:val="00F75827"/>
    <w:rsid w:val="00F80960"/>
    <w:rsid w:val="00F81655"/>
    <w:rsid w:val="00F82ACF"/>
    <w:rsid w:val="00F8524C"/>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D4A91C97-9DE4-4494-BDBF-8993BA49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hyperlink" Target="https://www.mos.gov.pl/kategoria/5681_krajow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97781-44B4-4490-AAA6-BBC7204F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31157</Words>
  <Characters>186945</Characters>
  <Application>Microsoft Office Word</Application>
  <DocSecurity>0</DocSecurity>
  <Lines>1557</Lines>
  <Paragraphs>435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Aleksandra Świątek</cp:lastModifiedBy>
  <cp:revision>2</cp:revision>
  <cp:lastPrinted>2018-02-08T13:55:00Z</cp:lastPrinted>
  <dcterms:created xsi:type="dcterms:W3CDTF">2018-04-30T12:50:00Z</dcterms:created>
  <dcterms:modified xsi:type="dcterms:W3CDTF">2018-04-30T12:50:00Z</dcterms:modified>
</cp:coreProperties>
</file>