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bookmarkStart w:id="0" w:name="_GoBack"/>
      <w:bookmarkEnd w:id="0"/>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3751C5D0"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w:t>
            </w:r>
            <w:r w:rsidR="001B5597" w:rsidRPr="004F2484">
              <w:rPr>
                <w:rFonts w:ascii="Arial Narrow" w:hAnsi="Arial Narrow"/>
                <w:smallCaps/>
                <w:sz w:val="22"/>
                <w:szCs w:val="22"/>
              </w:rPr>
              <w:t xml:space="preserve"> data</w:t>
            </w:r>
          </w:p>
          <w:p w14:paraId="3628BAAD" w14:textId="35289F15"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1BCDFE46" w:rsidR="001B5597" w:rsidRPr="004F2484" w:rsidRDefault="009F03C8" w:rsidP="00FC4FC1">
            <w:pPr>
              <w:jc w:val="center"/>
              <w:rPr>
                <w:rFonts w:ascii="Arial Narrow" w:hAnsi="Arial Narrow"/>
                <w:smallCaps/>
                <w:sz w:val="22"/>
                <w:szCs w:val="22"/>
              </w:rPr>
            </w:pPr>
            <w:r w:rsidRPr="004F2484">
              <w:rPr>
                <w:rFonts w:ascii="Arial Narrow" w:hAnsi="Arial Narrow"/>
                <w:smallCaps/>
                <w:sz w:val="22"/>
                <w:szCs w:val="22"/>
              </w:rPr>
              <w:t>Zakończenia</w:t>
            </w:r>
            <w:r w:rsidR="001B5597" w:rsidRPr="004F2484">
              <w:rPr>
                <w:rFonts w:ascii="Arial Narrow" w:hAnsi="Arial Narrow"/>
                <w:smallCaps/>
                <w:sz w:val="22"/>
                <w:szCs w:val="22"/>
              </w:rPr>
              <w:t xml:space="preserve"> realizacji</w:t>
            </w:r>
          </w:p>
          <w:p w14:paraId="1540F3E3" w14:textId="5255174F"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lastRenderedPageBreak/>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lastRenderedPageBreak/>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B70954">
              <w:rPr>
                <w:rFonts w:ascii="Arial Narrow" w:hAnsi="Arial Narrow"/>
                <w:b/>
                <w:smallCaps/>
                <w:sz w:val="22"/>
                <w:szCs w:val="22"/>
              </w:rPr>
            </w:r>
            <w:r w:rsidR="00B70954">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lastRenderedPageBreak/>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B70954">
              <w:rPr>
                <w:rFonts w:ascii="Arial Narrow" w:hAnsi="Arial Narrow" w:cs="Arial"/>
                <w:smallCaps/>
                <w:sz w:val="22"/>
                <w:szCs w:val="22"/>
              </w:rPr>
            </w:r>
            <w:r w:rsidR="00B70954">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EA10B7"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DB091F">
              <w:rPr>
                <w:rFonts w:ascii="Arial Narrow" w:hAnsi="Arial Narrow" w:cs="Arial"/>
                <w:sz w:val="22"/>
                <w:szCs w:val="22"/>
              </w:rPr>
              <w:t>2,5</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w:t>
            </w:r>
            <w:r w:rsidR="008D7C50">
              <w:rPr>
                <w:rFonts w:ascii="Arial Narrow" w:hAnsi="Arial Narrow" w:cs="Arial"/>
                <w:sz w:val="22"/>
                <w:szCs w:val="22"/>
              </w:rPr>
              <w:lastRenderedPageBreak/>
              <w:t>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1"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1"/>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403D8986" w:rsidR="00F243FA" w:rsidRPr="00F448D2" w:rsidRDefault="006A57B0" w:rsidP="001D3654">
            <w:pPr>
              <w:jc w:val="right"/>
              <w:rPr>
                <w:rFonts w:ascii="Arial Narrow" w:hAnsi="Arial Narrow"/>
                <w:b/>
                <w:sz w:val="22"/>
                <w:szCs w:val="22"/>
              </w:rPr>
            </w:pPr>
            <w:r>
              <w:rPr>
                <w:rFonts w:ascii="Arial Narrow" w:hAnsi="Arial Narrow"/>
                <w:b/>
                <w:sz w:val="22"/>
                <w:szCs w:val="22"/>
              </w:rPr>
              <w:t xml:space="preserve">W tym koszty </w:t>
            </w:r>
            <w:r w:rsidR="009F03C8">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6988CF8C" w:rsidR="00D70E01" w:rsidRPr="00F448D2" w:rsidRDefault="0002349A" w:rsidP="001238E0">
            <w:pPr>
              <w:jc w:val="both"/>
              <w:rPr>
                <w:rFonts w:ascii="Arial Narrow" w:hAnsi="Arial Narrow" w:cs="Arial"/>
                <w:b/>
              </w:rPr>
            </w:pPr>
            <w:r>
              <w:rPr>
                <w:rFonts w:ascii="Arial Narrow" w:hAnsi="Arial Narrow" w:cs="Arial"/>
                <w:b/>
              </w:rPr>
              <w:t>I</w:t>
            </w:r>
            <w:r w:rsidRPr="0002349A">
              <w:rPr>
                <w:rFonts w:ascii="Arial Narrow" w:hAnsi="Arial Narrow" w:cs="Arial"/>
                <w:b/>
              </w:rPr>
              <w:t>nwestycje w zakresie dróg wraz z infrastrukturą towarzyszącą</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lastRenderedPageBreak/>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B70954">
              <w:rPr>
                <w:rFonts w:ascii="Arial Narrow" w:hAnsi="Arial Narrow"/>
                <w:b/>
                <w:smallCaps/>
                <w:sz w:val="22"/>
                <w:szCs w:val="22"/>
              </w:rPr>
            </w:r>
            <w:r w:rsidR="00B70954">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B70954">
              <w:rPr>
                <w:rFonts w:ascii="Arial Narrow" w:hAnsi="Arial Narrow" w:cs="Arial"/>
                <w:sz w:val="22"/>
                <w:szCs w:val="22"/>
              </w:rPr>
            </w:r>
            <w:r w:rsidR="00B70954">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lastRenderedPageBreak/>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7B4CFD35" w14:textId="77777777" w:rsidR="009F03C8" w:rsidRDefault="009F03C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lastRenderedPageBreak/>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52D5EC63"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73DA6728" w14:textId="3CB4BDCC"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1CB4578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4D8EA265"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73F8DA0D"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2CD20B00"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5. Oświadczam, że 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powyższe oświadczenia)</w:t>
      </w:r>
    </w:p>
    <w:p w14:paraId="10FCD69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6. Oświadczam, że Wnioskodawca nie podlega wykluczeniu z ubiegania się o dofinansowanie i wobec niego nie orzeczono zakazu dostępu do środków funduszy europejskich na podstawie:</w:t>
      </w:r>
    </w:p>
    <w:p w14:paraId="4EC145A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679A1FF6"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EC909B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lastRenderedPageBreak/>
        <w:t>art. 9 ust. 1 pkt 2a ustawy z dnia 28 października 2002 r. o odpowiedzialności podmiotów zbiorowych za czyny zabronione pod groźbą kary.</w:t>
      </w:r>
    </w:p>
    <w:p w14:paraId="21869A28"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(W przypadku realizacji projektów partnerskich, każdy z partnerów przedkłada powyższe oświadczenia.)</w:t>
      </w:r>
    </w:p>
    <w:p w14:paraId="43D4C0D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7. Oświadczam, że Wnioskodawca nie jest przedsiębiorstwem w trudnej sytuacji w rozumieniu unijnych przepisów dotyczących pomocy publicznej. (W przypadku realizacji projektów partnerskich, każdy z partnerów przedkłada powyższe oświadczenia.)</w:t>
      </w:r>
    </w:p>
    <w:p w14:paraId="53F7609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54420C59"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9. Oświadczam, że:</w:t>
      </w:r>
    </w:p>
    <w:p w14:paraId="04E09DB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80EE76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2ECFE1D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817A7E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11. Oświadczam, że projekt nie dotyczy:</w:t>
      </w:r>
    </w:p>
    <w:p w14:paraId="3E914EF7" w14:textId="77777777" w:rsidR="009F03C8" w:rsidRPr="00550C75" w:rsidRDefault="009F03C8" w:rsidP="009F03C8">
      <w:pPr>
        <w:jc w:val="both"/>
        <w:rPr>
          <w:rFonts w:ascii="Arial Narrow" w:hAnsi="Arial Narrow"/>
          <w:sz w:val="22"/>
          <w:szCs w:val="22"/>
        </w:rPr>
      </w:pPr>
      <w:r w:rsidRPr="00550C75">
        <w:rPr>
          <w:rFonts w:ascii="Arial Narrow" w:hAnsi="Arial Narrow"/>
          <w:b/>
          <w:sz w:val="22"/>
          <w:szCs w:val="22"/>
        </w:rPr>
        <w:t>□</w:t>
      </w:r>
      <w:r w:rsidRPr="00550C75">
        <w:rPr>
          <w:rFonts w:ascii="Arial Narrow" w:hAnsi="Arial Narrow"/>
          <w:sz w:val="22"/>
          <w:szCs w:val="22"/>
        </w:rPr>
        <w:t xml:space="preserve">  likwidacji lub budowy elektrowni jądrowych, </w:t>
      </w:r>
    </w:p>
    <w:p w14:paraId="678F31EB"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B7AFC8E"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837BAEA"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4D0A6911"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lastRenderedPageBreak/>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36D84A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B86951E"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9F03C8" w:rsidRPr="00550C75" w14:paraId="47E17171" w14:textId="77777777" w:rsidTr="00261910">
        <w:tc>
          <w:tcPr>
            <w:tcW w:w="14202" w:type="dxa"/>
            <w:shd w:val="clear" w:color="auto" w:fill="auto"/>
          </w:tcPr>
          <w:p w14:paraId="35137E4F"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2EC9E69A"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12A060AA"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2DA90E82"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499E664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Administratorem Danych Osobowych jest Zarząd Województwa Łódzkiego z siedzibą w Łodzi, 90-051, Al. Piłsudskiego 8</w:t>
      </w:r>
    </w:p>
    <w:p w14:paraId="5CC6451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3D56B138"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41D98DF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w:t>
      </w:r>
      <w:r w:rsidRPr="00550C75">
        <w:rPr>
          <w:rFonts w:ascii="Arial Narrow" w:hAnsi="Arial Narrow"/>
          <w:sz w:val="22"/>
          <w:szCs w:val="22"/>
        </w:rPr>
        <w:lastRenderedPageBreak/>
        <w:t>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2017 r. poz. 1460, z późn. zm.);</w:t>
      </w:r>
    </w:p>
    <w:p w14:paraId="5227B6F6"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nie będą przekazywane do państwa trzeciego lub organizacji międzynarodowej;</w:t>
      </w:r>
    </w:p>
    <w:p w14:paraId="58A2D5BB"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79EE4304"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448DF9B9"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posiadam prawo do wniesienia skargi do Prezesa Urzędu Ochrony Danych Osobowych gdy uznam, iż przetwarzanie danych narusza przepisy RODO.</w:t>
      </w:r>
    </w:p>
    <w:p w14:paraId="15B1FF0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14:paraId="6892958C"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o prawie żądania dostępu do swoich danych osobowych, prawo ich sprostowania, usunięcia lub ograniczenia przetwarzania.</w:t>
      </w:r>
    </w:p>
    <w:p w14:paraId="5A80176A" w14:textId="2318D39E" w:rsidR="009F03C8" w:rsidRPr="00550C75" w:rsidRDefault="009F03C8" w:rsidP="009F03C8">
      <w:pPr>
        <w:jc w:val="both"/>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7F0F2B80"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(W przypadku realizacji projektów partnerskich, każdy z partnerów przedkłada powyższe oświadczenia.)</w:t>
      </w:r>
    </w:p>
    <w:p w14:paraId="0404C03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54EDB6B" w14:textId="55689CEF" w:rsidR="009F03C8"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r>
      <w:r w:rsidRPr="00550C75">
        <w:rPr>
          <w:rFonts w:ascii="Arial Narrow" w:hAnsi="Arial Narrow"/>
          <w:sz w:val="22"/>
          <w:szCs w:val="22"/>
        </w:rPr>
        <w:lastRenderedPageBreak/>
        <w:t>i prawnych we wniosku o dofinansowanie projektu, mającej wpływ na spełnianie przez projekt kryteriów wyboru projektu i której wprowadzenie skutkowałoby negatywną oceną projektu.</w:t>
      </w:r>
    </w:p>
    <w:p w14:paraId="295968F3" w14:textId="2E5BC52F" w:rsidR="009F03C8" w:rsidRDefault="009F03C8" w:rsidP="009F03C8">
      <w:pPr>
        <w:spacing w:before="120"/>
        <w:jc w:val="both"/>
        <w:rPr>
          <w:rFonts w:ascii="Arial Narrow" w:hAnsi="Arial Narrow"/>
          <w:sz w:val="22"/>
          <w:szCs w:val="22"/>
        </w:rPr>
      </w:pPr>
    </w:p>
    <w:p w14:paraId="11A85AB8" w14:textId="77777777" w:rsidR="009F03C8" w:rsidRPr="00550C75" w:rsidRDefault="009F03C8" w:rsidP="009F03C8">
      <w:pPr>
        <w:spacing w:before="120"/>
        <w:jc w:val="both"/>
        <w:rPr>
          <w:rFonts w:ascii="Arial Narrow" w:hAnsi="Arial Narrow"/>
          <w:sz w:val="22"/>
          <w:szCs w:val="22"/>
        </w:rPr>
      </w:pP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5C5E9AE7" w:rsidR="00E7562A" w:rsidRDefault="00E7562A" w:rsidP="00DE4C05">
      <w:pPr>
        <w:pStyle w:val="NormalnyWeb"/>
        <w:spacing w:after="40"/>
        <w:ind w:right="-74"/>
        <w:jc w:val="both"/>
        <w:rPr>
          <w:rFonts w:ascii="Arial Narrow" w:hAnsi="Arial Narrow"/>
          <w:spacing w:val="-2"/>
          <w:sz w:val="22"/>
          <w:szCs w:val="22"/>
        </w:rPr>
      </w:pPr>
    </w:p>
    <w:p w14:paraId="3469644A" w14:textId="0C94C6BC" w:rsidR="009F03C8" w:rsidRDefault="009F03C8" w:rsidP="00DE4C05">
      <w:pPr>
        <w:pStyle w:val="NormalnyWeb"/>
        <w:spacing w:after="40"/>
        <w:ind w:right="-74"/>
        <w:jc w:val="both"/>
        <w:rPr>
          <w:rFonts w:ascii="Arial Narrow" w:hAnsi="Arial Narrow"/>
          <w:spacing w:val="-2"/>
          <w:sz w:val="22"/>
          <w:szCs w:val="22"/>
        </w:rPr>
      </w:pPr>
    </w:p>
    <w:p w14:paraId="4298D7F7" w14:textId="43C78CD6" w:rsidR="009F03C8" w:rsidRDefault="009F03C8" w:rsidP="00DE4C05">
      <w:pPr>
        <w:pStyle w:val="NormalnyWeb"/>
        <w:spacing w:after="40"/>
        <w:ind w:right="-74"/>
        <w:jc w:val="both"/>
        <w:rPr>
          <w:rFonts w:ascii="Arial Narrow" w:hAnsi="Arial Narrow"/>
          <w:spacing w:val="-2"/>
          <w:sz w:val="22"/>
          <w:szCs w:val="22"/>
        </w:rPr>
      </w:pPr>
    </w:p>
    <w:p w14:paraId="5972B599" w14:textId="77777777" w:rsidR="009F03C8" w:rsidRPr="00590EAC" w:rsidRDefault="009F03C8"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lastRenderedPageBreak/>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76C4FE4C"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183CA332"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Dz.U. z 201</w:t>
      </w:r>
      <w:r w:rsidR="009F03C8">
        <w:rPr>
          <w:rFonts w:ascii="Arial Narrow" w:hAnsi="Arial Narrow"/>
          <w:sz w:val="22"/>
          <w:szCs w:val="22"/>
        </w:rPr>
        <w:t>8</w:t>
      </w:r>
      <w:r w:rsidR="00A94D2D" w:rsidRPr="00A94D2D">
        <w:rPr>
          <w:rFonts w:ascii="Arial Narrow" w:hAnsi="Arial Narrow"/>
          <w:sz w:val="22"/>
          <w:szCs w:val="22"/>
        </w:rPr>
        <w:t xml:space="preserve"> r., poz. 14</w:t>
      </w:r>
      <w:r w:rsidR="009F03C8">
        <w:rPr>
          <w:rFonts w:ascii="Arial Narrow" w:hAnsi="Arial Narrow"/>
          <w:sz w:val="22"/>
          <w:szCs w:val="22"/>
        </w:rPr>
        <w:t>74 ze zm.</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F0415" w14:textId="77777777" w:rsidR="00B70954" w:rsidRDefault="00B70954">
      <w:r>
        <w:separator/>
      </w:r>
    </w:p>
  </w:endnote>
  <w:endnote w:type="continuationSeparator" w:id="0">
    <w:p w14:paraId="7359296A" w14:textId="77777777" w:rsidR="00B70954" w:rsidRDefault="00B70954">
      <w:r>
        <w:continuationSeparator/>
      </w:r>
    </w:p>
  </w:endnote>
  <w:endnote w:type="continuationNotice" w:id="1">
    <w:p w14:paraId="3A4479C2" w14:textId="77777777" w:rsidR="00B70954" w:rsidRDefault="00B70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6914A1" w:rsidRDefault="0069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6914A1" w:rsidRDefault="006914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2628F948" w:rsidR="006914A1" w:rsidRDefault="006914A1">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7A13A5">
      <w:rPr>
        <w:rStyle w:val="Numerstrony"/>
        <w:rFonts w:ascii="Arial Narrow" w:hAnsi="Arial Narrow"/>
        <w:noProof/>
      </w:rPr>
      <w:t>2</w:t>
    </w:r>
    <w:r>
      <w:rPr>
        <w:rStyle w:val="Numerstrony"/>
        <w:rFonts w:ascii="Arial Narrow" w:hAnsi="Arial Narrow"/>
      </w:rPr>
      <w:fldChar w:fldCharType="end"/>
    </w:r>
  </w:p>
  <w:p w14:paraId="57809419" w14:textId="62006246" w:rsidR="006914A1" w:rsidRDefault="006914A1">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9834" w14:textId="77777777" w:rsidR="00B70954" w:rsidRDefault="00B70954">
      <w:r>
        <w:separator/>
      </w:r>
    </w:p>
  </w:footnote>
  <w:footnote w:type="continuationSeparator" w:id="0">
    <w:p w14:paraId="0AC442EC" w14:textId="77777777" w:rsidR="00B70954" w:rsidRDefault="00B70954">
      <w:r>
        <w:continuationSeparator/>
      </w:r>
    </w:p>
  </w:footnote>
  <w:footnote w:type="continuationNotice" w:id="1">
    <w:p w14:paraId="35CBBDD1" w14:textId="77777777" w:rsidR="00B70954" w:rsidRDefault="00B70954"/>
  </w:footnote>
  <w:footnote w:id="2">
    <w:p w14:paraId="5295CEFC" w14:textId="77777777" w:rsidR="006914A1" w:rsidRDefault="006914A1">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6914A1" w:rsidRDefault="006914A1" w:rsidP="00563CDF">
    <w:pPr>
      <w:pStyle w:val="Nagwek"/>
      <w:jc w:val="center"/>
    </w:pPr>
  </w:p>
  <w:p w14:paraId="67EA7EDF" w14:textId="59F2ABDE" w:rsidR="006914A1" w:rsidRDefault="006914A1"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6914A1" w:rsidRPr="00774587" w:rsidRDefault="006914A1"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6914A1" w:rsidRPr="00EF4383" w:rsidRDefault="006914A1"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6914A1" w:rsidRDefault="006914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13A5"/>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03C8"/>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0954"/>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B729-8058-4476-BE68-A32D9678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4356</Words>
  <Characters>26139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Kacper Krzysztofik</cp:lastModifiedBy>
  <cp:revision>2</cp:revision>
  <cp:lastPrinted>2017-12-19T08:21:00Z</cp:lastPrinted>
  <dcterms:created xsi:type="dcterms:W3CDTF">2019-06-19T10:56:00Z</dcterms:created>
  <dcterms:modified xsi:type="dcterms:W3CDTF">2019-06-19T10:56:00Z</dcterms:modified>
</cp:coreProperties>
</file>