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ED31B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549"/>
      </w:tblGrid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435A3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435A3E">
        <w:trPr>
          <w:cantSplit/>
          <w:jc w:val="center"/>
        </w:trPr>
        <w:tc>
          <w:tcPr>
            <w:tcW w:w="22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435A3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435A3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435A3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435A3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435A3E">
        <w:trPr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435A3E">
        <w:trPr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435A3E">
        <w:trPr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435A3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4D0666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435A3E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435A3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435A3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435A3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435A3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435A3E">
        <w:trPr>
          <w:cantSplit/>
          <w:jc w:val="center"/>
        </w:trPr>
        <w:tc>
          <w:tcPr>
            <w:tcW w:w="22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435A3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435A3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435A3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435A3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435A3E">
        <w:trPr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lastRenderedPageBreak/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6F3FD6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D1E7C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3D1E7C" w:rsidRPr="00F448D2" w:rsidRDefault="003D1E7C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3D1E7C" w:rsidRPr="00F448D2" w:rsidRDefault="003D1E7C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1E7C" w:rsidRPr="00F448D2" w:rsidRDefault="003D1E7C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D1E7C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3D1E7C" w:rsidRPr="00F448D2" w:rsidRDefault="003D1E7C" w:rsidP="003D1E7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D1E7C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3D1E7C" w:rsidRPr="00F448D2" w:rsidRDefault="003D1E7C" w:rsidP="003D1E7C">
            <w:pPr>
              <w:jc w:val="both"/>
              <w:rPr>
                <w:rFonts w:ascii="Arial Narrow" w:hAnsi="Arial Narrow" w:cs="Arial"/>
                <w:b/>
              </w:rPr>
            </w:pPr>
            <w:r w:rsidRPr="0011123C">
              <w:rPr>
                <w:rFonts w:ascii="Arial Narrow" w:hAnsi="Arial Narrow" w:cs="Arial"/>
                <w:b/>
              </w:rPr>
              <w:t>Przebudowa infrastruktury technicznej kolidującej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D1E7C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3D1E7C" w:rsidRPr="00F448D2" w:rsidRDefault="003D1E7C" w:rsidP="003D1E7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D1E7C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3D1E7C" w:rsidRPr="00F448D2" w:rsidRDefault="003D1E7C" w:rsidP="003D1E7C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D1E7C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3D1E7C" w:rsidRPr="00F448D2" w:rsidRDefault="003D1E7C" w:rsidP="003D1E7C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1E7C" w:rsidRPr="00F448D2" w:rsidRDefault="003D1E7C" w:rsidP="003D1E7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F448D2" w:rsidRDefault="00F448D2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ED31B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Wartość Ogółem Kosztu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Wartość kwalifikowana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Pułap wnioskowanej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D31BC">
              <w:rPr>
                <w:rFonts w:ascii="Arial Narrow" w:hAnsi="Arial Narrow" w:cs="Arial"/>
                <w:sz w:val="22"/>
                <w:szCs w:val="22"/>
              </w:rPr>
            </w:r>
            <w:r w:rsidR="00ED31B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lastRenderedPageBreak/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lastRenderedPageBreak/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lastRenderedPageBreak/>
        <w:t xml:space="preserve"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perspektywie finansowej 2014–2020 (Dz. </w:t>
      </w:r>
      <w:r w:rsidRPr="0054278E">
        <w:rPr>
          <w:rFonts w:ascii="Arial Narrow" w:hAnsi="Arial Narrow"/>
        </w:rPr>
        <w:t xml:space="preserve">U. z </w:t>
      </w:r>
      <w:r w:rsidRPr="00CE6635">
        <w:rPr>
          <w:rFonts w:ascii="Arial Narrow" w:hAnsi="Arial Narrow"/>
        </w:rPr>
        <w:t xml:space="preserve">2017 r. </w:t>
      </w:r>
      <w:r w:rsidRPr="0054278E">
        <w:rPr>
          <w:rFonts w:ascii="Arial Narrow" w:hAnsi="Arial Narrow"/>
        </w:rPr>
        <w:t xml:space="preserve">poz. </w:t>
      </w:r>
      <w:r w:rsidRPr="00CE6635">
        <w:rPr>
          <w:rFonts w:ascii="Arial Narrow" w:hAnsi="Arial Narrow"/>
        </w:rPr>
        <w:t>1460, z późn. zm.);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lastRenderedPageBreak/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684665" w:rsidRPr="00644E6A" w:rsidRDefault="00BA6C3B" w:rsidP="0068466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435A3E" w:rsidRPr="003130B3">
        <w:rPr>
          <w:rFonts w:ascii="Arial Narrow" w:hAnsi="Arial Narrow"/>
          <w:sz w:val="22"/>
          <w:szCs w:val="22"/>
        </w:rPr>
        <w:t xml:space="preserve"> </w:t>
      </w:r>
      <w:r w:rsidR="00684665" w:rsidRPr="00644E6A">
        <w:rPr>
          <w:rFonts w:ascii="Arial Narrow" w:hAnsi="Arial Narrow"/>
          <w:sz w:val="22"/>
          <w:szCs w:val="22"/>
        </w:rPr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684665">
        <w:rPr>
          <w:rFonts w:ascii="Arial Narrow" w:hAnsi="Arial Narrow"/>
          <w:sz w:val="22"/>
          <w:szCs w:val="22"/>
        </w:rPr>
        <w:t xml:space="preserve"> </w:t>
      </w:r>
    </w:p>
    <w:p w:rsidR="00684665" w:rsidRPr="00644E6A" w:rsidRDefault="00684665" w:rsidP="00684665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>
        <w:rPr>
          <w:rFonts w:ascii="Arial Narrow" w:hAnsi="Arial Narrow"/>
          <w:b/>
          <w:sz w:val="22"/>
          <w:szCs w:val="22"/>
        </w:rPr>
        <w:t>.</w:t>
      </w:r>
    </w:p>
    <w:p w:rsidR="00BA6C3B" w:rsidRPr="00684665" w:rsidRDefault="00684665" w:rsidP="00684665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B0010" w:rsidRDefault="00BA6C3B" w:rsidP="00435A3E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 w:rsidR="00435A3E">
        <w:rPr>
          <w:rFonts w:ascii="Arial Narrow" w:hAnsi="Arial Narrow"/>
          <w:sz w:val="22"/>
          <w:szCs w:val="22"/>
        </w:rPr>
        <w:t>.</w:t>
      </w:r>
    </w:p>
    <w:p w:rsidR="00684665" w:rsidRPr="000C7FC3" w:rsidRDefault="00684665" w:rsidP="00435A3E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lastRenderedPageBreak/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Dz.U. z 201</w:t>
      </w:r>
      <w:r w:rsidR="00DD682E">
        <w:rPr>
          <w:rFonts w:ascii="Arial Narrow" w:hAnsi="Arial Narrow"/>
          <w:sz w:val="22"/>
          <w:szCs w:val="22"/>
        </w:rPr>
        <w:t>8</w:t>
      </w:r>
      <w:r w:rsidR="00A94D2D" w:rsidRPr="00A94D2D">
        <w:rPr>
          <w:rFonts w:ascii="Arial Narrow" w:hAnsi="Arial Narrow"/>
          <w:sz w:val="22"/>
          <w:szCs w:val="22"/>
        </w:rPr>
        <w:t xml:space="preserve"> r., poz. </w:t>
      </w:r>
      <w:r w:rsidR="00DD682E">
        <w:rPr>
          <w:rFonts w:ascii="Arial Narrow" w:hAnsi="Arial Narrow"/>
          <w:sz w:val="22"/>
          <w:szCs w:val="22"/>
        </w:rPr>
        <w:t>1474.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BC" w:rsidRDefault="00ED31BC">
      <w:r>
        <w:separator/>
      </w:r>
    </w:p>
  </w:endnote>
  <w:endnote w:type="continuationSeparator" w:id="0">
    <w:p w:rsidR="00ED31BC" w:rsidRDefault="00ED31BC">
      <w:r>
        <w:continuationSeparator/>
      </w:r>
    </w:p>
  </w:endnote>
  <w:endnote w:type="continuationNotice" w:id="1">
    <w:p w:rsidR="00ED31BC" w:rsidRDefault="00ED3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8C" w:rsidRDefault="00D844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8448C" w:rsidRDefault="00D844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8C" w:rsidRDefault="00D8448C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9409CB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:rsidR="00D8448C" w:rsidRDefault="00D8448C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BC" w:rsidRDefault="00ED31BC">
      <w:r>
        <w:separator/>
      </w:r>
    </w:p>
  </w:footnote>
  <w:footnote w:type="continuationSeparator" w:id="0">
    <w:p w:rsidR="00ED31BC" w:rsidRDefault="00ED31BC">
      <w:r>
        <w:continuationSeparator/>
      </w:r>
    </w:p>
  </w:footnote>
  <w:footnote w:type="continuationNotice" w:id="1">
    <w:p w:rsidR="00ED31BC" w:rsidRDefault="00ED31BC"/>
  </w:footnote>
  <w:footnote w:id="2">
    <w:p w:rsidR="00D8448C" w:rsidRDefault="00D8448C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8C" w:rsidRDefault="00D8448C" w:rsidP="00563CDF">
    <w:pPr>
      <w:pStyle w:val="Nagwek"/>
      <w:jc w:val="center"/>
    </w:pPr>
  </w:p>
  <w:p w:rsidR="00D8448C" w:rsidRDefault="00D8448C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8C" w:rsidRPr="00774587" w:rsidRDefault="00D8448C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D8448C" w:rsidRDefault="00D8448C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48C" w:rsidRDefault="00D844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1E7C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5A3E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4665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3FD6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09CB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4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31BC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AF02-2955-4DD1-9E73-78A39D5C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4238</Words>
  <Characters>25430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2017-12-05T14:48:00Z</cp:lastPrinted>
  <dcterms:created xsi:type="dcterms:W3CDTF">2019-06-25T08:45:00Z</dcterms:created>
  <dcterms:modified xsi:type="dcterms:W3CDTF">2019-06-25T08:45:00Z</dcterms:modified>
</cp:coreProperties>
</file>