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bookmarkStart w:id="0" w:name="_GoBack"/>
      <w:bookmarkEnd w:id="0"/>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xml:space="preserve">   (na tej stronie możesz wypełnić wniosek o dofinansowanie tylko dla </w:t>
      </w:r>
      <w:r w:rsidRPr="00010E86">
        <w:rPr>
          <w:rFonts w:ascii="Arial Narrow" w:hAnsi="Arial Narrow"/>
          <w:sz w:val="20"/>
          <w:szCs w:val="20"/>
        </w:rPr>
        <w:lastRenderedPageBreak/>
        <w:t>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lastRenderedPageBreak/>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lastRenderedPageBreak/>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lastRenderedPageBreak/>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5pt;height:13.75pt" o:ole="">
                  <v:imagedata r:id="rId17" o:title=""/>
                </v:shape>
                <o:OLEObject Type="Embed" ProgID="PBrush" ShapeID="_x0000_i1025" DrawAspect="Content" ObjectID="_1626074784"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lastRenderedPageBreak/>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t>
      </w:r>
      <w:r w:rsidRPr="00010E86">
        <w:rPr>
          <w:rFonts w:ascii="Arial Narrow" w:hAnsi="Arial Narrow"/>
          <w:szCs w:val="20"/>
        </w:rPr>
        <w:lastRenderedPageBreak/>
        <w:t xml:space="preserve">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w:t>
      </w:r>
      <w:r w:rsidRPr="00010E86">
        <w:rPr>
          <w:rFonts w:ascii="Arial Narrow" w:hAnsi="Arial Narrow"/>
          <w:szCs w:val="20"/>
        </w:rPr>
        <w:lastRenderedPageBreak/>
        <w:t xml:space="preserve">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lastRenderedPageBreak/>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w:t>
      </w:r>
      <w:r w:rsidRPr="00010E86">
        <w:rPr>
          <w:rFonts w:ascii="Arial Narrow" w:hAnsi="Arial Narrow"/>
          <w:sz w:val="20"/>
          <w:szCs w:val="20"/>
        </w:rPr>
        <w:lastRenderedPageBreak/>
        <w:t xml:space="preserve">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lastRenderedPageBreak/>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w:t>
      </w:r>
      <w:r w:rsidR="005A0F26" w:rsidRPr="001D76E3">
        <w:rPr>
          <w:rFonts w:ascii="Arial Narrow" w:hAnsi="Arial Narrow" w:cs="Arial"/>
          <w:color w:val="000000"/>
          <w:sz w:val="20"/>
          <w:szCs w:val="20"/>
        </w:rPr>
        <w:lastRenderedPageBreak/>
        <w:t>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1D76E3">
        <w:rPr>
          <w:rFonts w:ascii="Arial Narrow" w:hAnsi="Arial Narrow" w:cs="Arial"/>
          <w:sz w:val="20"/>
          <w:szCs w:val="20"/>
        </w:rPr>
        <w:lastRenderedPageBreak/>
        <w:t>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C167B" w:rsidRPr="00FA3B56" w:rsidRDefault="007C167B" w:rsidP="007C167B">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Rozporządzenia Ministra Infrastruktury i Rozwoju z dnia 28 sierpnia 2015 r. w sprawie udzielania pomocy na inwestycje wspierające efektywność energetyczną w ramach regionalnych programów operacyjnych na lata 2014–2020;</w:t>
      </w:r>
    </w:p>
    <w:p w:rsidR="00073385" w:rsidRDefault="007C167B" w:rsidP="00073385">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lastRenderedPageBreak/>
        <w:t>-</w:t>
      </w:r>
      <w:r w:rsidRPr="00FA3B56">
        <w:rPr>
          <w:rFonts w:ascii="Arial Narrow" w:hAnsi="Arial Narrow" w:cs="Arial"/>
          <w:sz w:val="20"/>
          <w:szCs w:val="20"/>
        </w:rPr>
        <w:tab/>
        <w:t>Rozporządzenia Ministra Infrastruktury i Rozwoju z dnia 3 września 2015 r. w sprawie udzielania pomocy na inwestycje w układy wysokosprawnej kogeneracji oraz na propagowanie energii ze źródeł odnawialnych w ramach regionalnych programów operacyjnych na lata 2014–2020;</w:t>
      </w:r>
    </w:p>
    <w:p w:rsidR="00073385" w:rsidRDefault="00073385" w:rsidP="00073385">
      <w:pPr>
        <w:spacing w:after="60" w:line="276" w:lineRule="auto"/>
        <w:ind w:left="360" w:hanging="360"/>
        <w:jc w:val="both"/>
        <w:rPr>
          <w:rFonts w:ascii="Arial Narrow" w:hAnsi="Arial Narrow" w:cs="Arial"/>
          <w:sz w:val="20"/>
          <w:szCs w:val="20"/>
        </w:rPr>
      </w:pPr>
      <w:r>
        <w:rPr>
          <w:rFonts w:ascii="Arial Narrow" w:hAnsi="Arial Narrow" w:cs="Arial"/>
          <w:sz w:val="20"/>
          <w:szCs w:val="20"/>
        </w:rPr>
        <w:t xml:space="preserve">-   </w:t>
      </w:r>
      <w:r w:rsidRPr="00400D02">
        <w:rPr>
          <w:rFonts w:ascii="Arial Narrow" w:hAnsi="Arial Narrow" w:cs="Arial"/>
          <w:sz w:val="20"/>
          <w:szCs w:val="20"/>
        </w:rPr>
        <w:t>R</w:t>
      </w:r>
      <w:r w:rsidRPr="00073385">
        <w:rPr>
          <w:rFonts w:ascii="Arial Narrow" w:hAnsi="Arial Narrow" w:cs="Arial"/>
          <w:sz w:val="20"/>
          <w:szCs w:val="20"/>
        </w:rPr>
        <w:t>ozporządzenia Ministra Infrastruktury i Rozwoju z dnia 5 listopada 2015r. w sprawie udz</w:t>
      </w:r>
      <w:r>
        <w:rPr>
          <w:rFonts w:ascii="Arial Narrow" w:hAnsi="Arial Narrow" w:cs="Arial"/>
          <w:sz w:val="20"/>
          <w:szCs w:val="20"/>
        </w:rPr>
        <w:t xml:space="preserve">ielania pomocy inwestycyjnej na </w:t>
      </w:r>
      <w:r w:rsidRPr="00073385">
        <w:rPr>
          <w:rFonts w:ascii="Arial Narrow" w:hAnsi="Arial Narrow" w:cs="Arial"/>
          <w:sz w:val="20"/>
          <w:szCs w:val="20"/>
        </w:rPr>
        <w:t>efektywny energetycznie system ciepłowniczy i chłodniczy w ramach regionalnych programów operacyjnych na lata 2014 – 2020;</w:t>
      </w:r>
    </w:p>
    <w:p w:rsidR="00400D02" w:rsidRPr="00FA3B56" w:rsidRDefault="00400D02" w:rsidP="00400D02">
      <w:pPr>
        <w:spacing w:after="60" w:line="276" w:lineRule="auto"/>
        <w:ind w:left="360" w:hanging="360"/>
        <w:jc w:val="both"/>
        <w:rPr>
          <w:rFonts w:ascii="Arial Narrow" w:hAnsi="Arial Narrow" w:cs="Arial"/>
          <w:sz w:val="20"/>
          <w:szCs w:val="20"/>
        </w:rPr>
      </w:pPr>
      <w:r>
        <w:rPr>
          <w:rFonts w:ascii="Arial Narrow" w:hAnsi="Arial Narrow" w:cs="Arial"/>
          <w:sz w:val="20"/>
          <w:szCs w:val="20"/>
        </w:rPr>
        <w:t xml:space="preserve">-   </w:t>
      </w:r>
      <w:r w:rsidRPr="00400D02">
        <w:rPr>
          <w:rFonts w:ascii="Arial Narrow" w:hAnsi="Arial Narrow" w:cs="Arial"/>
          <w:sz w:val="20"/>
          <w:szCs w:val="20"/>
        </w:rPr>
        <w:t>R</w:t>
      </w:r>
      <w:r w:rsidRPr="00400D02">
        <w:rPr>
          <w:rFonts w:ascii="Arial Narrow" w:hAnsi="Arial Narrow"/>
          <w:sz w:val="20"/>
          <w:szCs w:val="20"/>
        </w:rPr>
        <w:t>ozporządzenia Ministra Infrastruktury i Rozwoju z dnia 3 września 2015 r. w sprawie udzielania regionalnej pomocy inwestycyjnej w ramach regionalnych programów</w:t>
      </w:r>
      <w:r>
        <w:rPr>
          <w:rFonts w:ascii="Arial Narrow" w:hAnsi="Arial Narrow"/>
          <w:sz w:val="20"/>
          <w:szCs w:val="20"/>
        </w:rPr>
        <w:t xml:space="preserve"> operacyjnych na lata 2014–2020;</w:t>
      </w:r>
    </w:p>
    <w:p w:rsidR="007C167B" w:rsidRPr="00D76716" w:rsidRDefault="007C167B" w:rsidP="007C167B">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t>Rozporządzenia Ministra Infrastruktury i Rozwoju z dnia 19 marca 2015 r. w sprawie udzielania pomocy de minimis w ramach regionalnych programów operacyjnych na lata 2014-2020;</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lastRenderedPageBreak/>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Rozwoju i Finansów 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lastRenderedPageBreak/>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lastRenderedPageBreak/>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lastRenderedPageBreak/>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lastRenderedPageBreak/>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D76716" w:rsidRPr="00340AAC">
        <w:rPr>
          <w:rFonts w:ascii="Arial Narrow" w:hAnsi="Arial Narrow" w:cs="Arial"/>
          <w:color w:val="000000" w:themeColor="text1"/>
          <w:sz w:val="20"/>
          <w:szCs w:val="20"/>
        </w:rPr>
        <w:t xml:space="preserve">V </w:t>
      </w:r>
      <w:r w:rsidR="00804E4B" w:rsidRPr="00340AAC">
        <w:rPr>
          <w:rFonts w:ascii="Arial Narrow" w:hAnsi="Arial Narrow" w:cs="Arial"/>
          <w:color w:val="000000" w:themeColor="text1"/>
          <w:sz w:val="20"/>
          <w:szCs w:val="20"/>
        </w:rPr>
        <w:t>Gospodarka Niskoemisyjna</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I</w:t>
      </w:r>
      <w:r w:rsidR="0078223E" w:rsidRPr="00340AAC">
        <w:rPr>
          <w:rFonts w:ascii="Arial Narrow" w:hAnsi="Arial Narrow" w:cs="Arial"/>
          <w:color w:val="000000" w:themeColor="text1"/>
          <w:sz w:val="20"/>
          <w:szCs w:val="20"/>
        </w:rPr>
        <w:t>V.</w:t>
      </w:r>
      <w:r w:rsidR="00454587">
        <w:rPr>
          <w:rFonts w:ascii="Arial Narrow" w:hAnsi="Arial Narrow" w:cs="Arial"/>
          <w:color w:val="000000" w:themeColor="text1"/>
          <w:sz w:val="20"/>
          <w:szCs w:val="20"/>
        </w:rPr>
        <w:t>3 Ochrona Powietrza</w:t>
      </w:r>
      <w:r w:rsidR="0078223E" w:rsidRPr="00340AAC">
        <w:rPr>
          <w:rFonts w:ascii="Arial Narrow" w:hAnsi="Arial Narrow" w:cs="Arial"/>
          <w:color w:val="000000" w:themeColor="text1"/>
          <w:sz w:val="20"/>
          <w:szCs w:val="20"/>
        </w:rPr>
        <w:t>”</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804E4B" w:rsidRPr="00340AAC">
        <w:rPr>
          <w:rFonts w:ascii="Arial Narrow" w:hAnsi="Arial Narrow" w:cs="Arial"/>
          <w:color w:val="000000" w:themeColor="text1"/>
          <w:sz w:val="20"/>
          <w:szCs w:val="20"/>
        </w:rPr>
        <w:t>I</w:t>
      </w:r>
      <w:r w:rsidR="0078223E" w:rsidRPr="00340AAC">
        <w:rPr>
          <w:rFonts w:ascii="Arial Narrow" w:hAnsi="Arial Narrow" w:cs="Arial"/>
          <w:color w:val="000000" w:themeColor="text1"/>
          <w:sz w:val="20"/>
          <w:szCs w:val="20"/>
        </w:rPr>
        <w:t>V.</w:t>
      </w:r>
      <w:r w:rsidR="00454587">
        <w:rPr>
          <w:rFonts w:ascii="Arial Narrow" w:hAnsi="Arial Narrow" w:cs="Arial"/>
          <w:color w:val="000000" w:themeColor="text1"/>
          <w:sz w:val="20"/>
          <w:szCs w:val="20"/>
        </w:rPr>
        <w:t>3</w:t>
      </w:r>
      <w:r w:rsidR="0078223E" w:rsidRPr="00340AAC">
        <w:rPr>
          <w:rFonts w:ascii="Arial Narrow" w:hAnsi="Arial Narrow" w:cs="Arial"/>
          <w:color w:val="000000" w:themeColor="text1"/>
          <w:sz w:val="20"/>
          <w:szCs w:val="20"/>
        </w:rPr>
        <w:t>.</w:t>
      </w:r>
      <w:r w:rsidR="00804E4B" w:rsidRPr="00340AAC">
        <w:rPr>
          <w:rFonts w:ascii="Arial Narrow" w:hAnsi="Arial Narrow" w:cs="Arial"/>
          <w:color w:val="000000" w:themeColor="text1"/>
          <w:sz w:val="20"/>
          <w:szCs w:val="20"/>
        </w:rPr>
        <w:t>2</w:t>
      </w:r>
      <w:r w:rsidR="0078223E" w:rsidRPr="00340AAC">
        <w:rPr>
          <w:rFonts w:ascii="Arial Narrow" w:hAnsi="Arial Narrow" w:cs="Arial"/>
          <w:color w:val="000000" w:themeColor="text1"/>
          <w:sz w:val="20"/>
          <w:szCs w:val="20"/>
        </w:rPr>
        <w:t xml:space="preserve"> </w:t>
      </w:r>
      <w:r w:rsidR="00454587">
        <w:rPr>
          <w:rFonts w:ascii="Arial Narrow" w:hAnsi="Arial Narrow" w:cs="Arial"/>
          <w:color w:val="000000" w:themeColor="text1"/>
          <w:sz w:val="20"/>
          <w:szCs w:val="20"/>
        </w:rPr>
        <w:t>Ochrona Powietrza</w:t>
      </w:r>
      <w:r w:rsidR="0078223E" w:rsidRPr="00340AA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lastRenderedPageBreak/>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lastRenderedPageBreak/>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lastRenderedPageBreak/>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FA3B56">
        <w:rPr>
          <w:rFonts w:ascii="Arial Narrow" w:hAnsi="Arial Narrow" w:cs="Tahoma,Bold"/>
          <w:bCs/>
          <w:color w:val="000000" w:themeColor="text1"/>
          <w:sz w:val="20"/>
          <w:szCs w:val="20"/>
          <w:lang w:eastAsia="en-US"/>
        </w:rPr>
        <w:t>Kod zakresu interwencji n</w:t>
      </w:r>
      <w:r w:rsidRPr="00FA3B56">
        <w:rPr>
          <w:rFonts w:ascii="Arial Narrow" w:hAnsi="Arial Narrow"/>
          <w:color w:val="000000" w:themeColor="text1"/>
          <w:sz w:val="20"/>
          <w:szCs w:val="20"/>
        </w:rPr>
        <w:t xml:space="preserve">ależy wybrać dla projektu  z Tabeli 1 będącej załącznikiem I do Rozporządzenia Komisji </w:t>
      </w:r>
      <w:r w:rsidR="00F722FB" w:rsidRPr="00FA3B56">
        <w:rPr>
          <w:rFonts w:ascii="Arial Narrow" w:hAnsi="Arial Narrow"/>
          <w:color w:val="000000" w:themeColor="text1"/>
          <w:sz w:val="20"/>
          <w:szCs w:val="20"/>
        </w:rPr>
        <w:t xml:space="preserve">(UE) nr 215/2014. W zakresie </w:t>
      </w:r>
      <w:r w:rsidR="00804E4B" w:rsidRPr="00FA3B56">
        <w:rPr>
          <w:rFonts w:ascii="Arial Narrow" w:hAnsi="Arial Narrow"/>
          <w:color w:val="000000" w:themeColor="text1"/>
          <w:sz w:val="20"/>
          <w:szCs w:val="20"/>
        </w:rPr>
        <w:t>IV.2.2</w:t>
      </w:r>
      <w:r w:rsidRPr="00FA3B56">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8622FC" w:rsidRPr="008622FC" w:rsidRDefault="008622FC" w:rsidP="008622FC">
      <w:pPr>
        <w:jc w:val="both"/>
        <w:rPr>
          <w:rFonts w:ascii="Arial Narrow" w:hAnsi="Arial Narrow"/>
          <w:sz w:val="20"/>
          <w:szCs w:val="20"/>
        </w:rPr>
      </w:pPr>
      <w:r w:rsidRPr="008622FC">
        <w:rPr>
          <w:rFonts w:ascii="Arial Narrow" w:hAnsi="Arial Narrow"/>
          <w:sz w:val="20"/>
          <w:szCs w:val="20"/>
        </w:rPr>
        <w:t>013 - Renowacja infrastruktury publicznej dla celów efektywności energetycznej, projekty demonstracyjne i środki wsparcia</w:t>
      </w:r>
    </w:p>
    <w:p w:rsidR="008622FC" w:rsidRPr="008622FC" w:rsidRDefault="008622FC" w:rsidP="008622FC">
      <w:pPr>
        <w:jc w:val="both"/>
        <w:rPr>
          <w:rFonts w:ascii="Arial Narrow" w:hAnsi="Arial Narrow"/>
          <w:sz w:val="20"/>
          <w:szCs w:val="20"/>
        </w:rPr>
      </w:pPr>
      <w:r w:rsidRPr="008622FC">
        <w:rPr>
          <w:rFonts w:ascii="Arial Narrow" w:hAnsi="Arial Narrow"/>
          <w:sz w:val="20"/>
          <w:szCs w:val="20"/>
        </w:rPr>
        <w:t>016 - Wysokosprawna kogeneracja i centralne ogrzewanie</w:t>
      </w:r>
    </w:p>
    <w:p w:rsidR="008622FC" w:rsidRPr="008622FC" w:rsidRDefault="008622FC" w:rsidP="008622FC">
      <w:pPr>
        <w:jc w:val="both"/>
        <w:rPr>
          <w:rFonts w:ascii="Arial Narrow" w:hAnsi="Arial Narrow"/>
          <w:sz w:val="20"/>
          <w:szCs w:val="20"/>
        </w:rPr>
      </w:pPr>
      <w:r w:rsidRPr="008622FC">
        <w:rPr>
          <w:rFonts w:ascii="Arial Narrow" w:hAnsi="Arial Narrow"/>
          <w:sz w:val="20"/>
          <w:szCs w:val="20"/>
        </w:rPr>
        <w:t>083 - Działania w zakresie jakości powietrza</w:t>
      </w:r>
    </w:p>
    <w:p w:rsidR="008622FC" w:rsidRPr="008622FC" w:rsidRDefault="008622FC" w:rsidP="008622FC">
      <w:pPr>
        <w:jc w:val="both"/>
        <w:rPr>
          <w:rFonts w:ascii="Arial Narrow" w:hAnsi="Arial Narrow"/>
          <w:sz w:val="20"/>
          <w:szCs w:val="20"/>
        </w:rPr>
      </w:pPr>
      <w:r w:rsidRPr="008622FC">
        <w:rPr>
          <w:rFonts w:ascii="Arial Narrow" w:hAnsi="Arial Narrow"/>
          <w:sz w:val="20"/>
          <w:szCs w:val="20"/>
        </w:rPr>
        <w:lastRenderedPageBreak/>
        <w:t>101 - Finansowanie krzyżowe w ramach EFRR (wsparcie dla przedsięwzięć typowych dla EFS, koniecznych dla zadowalającego wdrożenia części przedsięwzięć związanej bezpośrednio z EFRR)</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lastRenderedPageBreak/>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w:t>
      </w:r>
      <w:r w:rsidR="00F95577" w:rsidRPr="001D76E3">
        <w:rPr>
          <w:rFonts w:ascii="Arial Narrow" w:hAnsi="Arial Narrow" w:cs="Arial"/>
          <w:bCs/>
          <w:sz w:val="20"/>
          <w:szCs w:val="20"/>
        </w:rPr>
        <w:lastRenderedPageBreak/>
        <w:t xml:space="preserve">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w:t>
      </w:r>
      <w:r w:rsidRPr="001D76E3">
        <w:rPr>
          <w:rFonts w:ascii="Arial Narrow" w:hAnsi="Arial Narrow" w:cs="Arial"/>
          <w:sz w:val="20"/>
          <w:szCs w:val="20"/>
        </w:rPr>
        <w:lastRenderedPageBreak/>
        <w:t xml:space="preserve">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w:t>
      </w:r>
      <w:r w:rsidRPr="008F33FC">
        <w:rPr>
          <w:rFonts w:ascii="Arial Narrow" w:hAnsi="Arial Narrow"/>
          <w:color w:val="000000" w:themeColor="text1"/>
          <w:sz w:val="20"/>
          <w:szCs w:val="20"/>
        </w:rPr>
        <w:lastRenderedPageBreak/>
        <w:t xml:space="preserve">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w:t>
      </w:r>
      <w:r w:rsidRPr="008F33FC">
        <w:rPr>
          <w:rFonts w:ascii="Arial Narrow" w:hAnsi="Arial Narrow"/>
          <w:color w:val="000000" w:themeColor="text1"/>
          <w:sz w:val="20"/>
          <w:szCs w:val="20"/>
        </w:rPr>
        <w:lastRenderedPageBreak/>
        <w:t xml:space="preserve">(nr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Default="00075C16"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lastRenderedPageBreak/>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 xml:space="preserve">Jak realizować zasadę równości szans kobiet i mężczyzn w projektach </w:t>
      </w:r>
      <w:r>
        <w:rPr>
          <w:rFonts w:ascii="Arial Narrow" w:hAnsi="Arial Narrow"/>
          <w:i/>
          <w:iCs/>
          <w:sz w:val="20"/>
          <w:szCs w:val="20"/>
        </w:rPr>
        <w:lastRenderedPageBreak/>
        <w:t>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 xml:space="preserve">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w:t>
      </w:r>
      <w:r>
        <w:rPr>
          <w:rFonts w:ascii="Arial Narrow" w:hAnsi="Arial Narrow"/>
          <w:sz w:val="20"/>
          <w:szCs w:val="20"/>
        </w:rPr>
        <w:lastRenderedPageBreak/>
        <w:t>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w:t>
      </w:r>
      <w:r>
        <w:rPr>
          <w:rFonts w:ascii="Arial Narrow" w:hAnsi="Arial Narrow"/>
          <w:sz w:val="20"/>
          <w:szCs w:val="20"/>
        </w:rPr>
        <w:lastRenderedPageBreak/>
        <w:t xml:space="preserve">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xml:space="preserve">* W przypadku modernizacji dostępność dotyczy co najmniej tych elementów budynku, które mają być przedmiotem finansowania z RPO WŁ. Przebudowa to wykonywanie </w:t>
      </w:r>
      <w:r>
        <w:rPr>
          <w:rFonts w:ascii="Arial Narrow" w:hAnsi="Arial Narrow"/>
          <w:sz w:val="18"/>
          <w:szCs w:val="18"/>
        </w:rPr>
        <w:lastRenderedPageBreak/>
        <w:t>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 xml:space="preserve">kwestii poprzez wskazanie odpowiedniego charakteru pod względem </w:t>
      </w:r>
      <w:r w:rsidRPr="001D76E3">
        <w:rPr>
          <w:rFonts w:ascii="Arial Narrow" w:hAnsi="Arial Narrow" w:cs="Arial"/>
          <w:sz w:val="20"/>
          <w:szCs w:val="20"/>
        </w:rPr>
        <w:lastRenderedPageBreak/>
        <w:t>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w:t>
      </w:r>
      <w:r w:rsidR="00B51088" w:rsidRPr="001D76E3">
        <w:rPr>
          <w:rFonts w:ascii="Arial Narrow" w:hAnsi="Arial Narrow" w:cs="Arial"/>
          <w:sz w:val="20"/>
          <w:szCs w:val="20"/>
        </w:rPr>
        <w:lastRenderedPageBreak/>
        <w:t xml:space="preserve">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6A4C4D">
        <w:rPr>
          <w:rFonts w:ascii="Arial Narrow" w:hAnsi="Arial Narrow" w:cs="Arial"/>
          <w:sz w:val="20"/>
          <w:szCs w:val="20"/>
        </w:rPr>
        <w:t>IV.3</w:t>
      </w:r>
      <w:r w:rsidR="00AE4179">
        <w:rPr>
          <w:rFonts w:ascii="Arial Narrow" w:hAnsi="Arial Narrow" w:cs="Arial"/>
          <w:sz w:val="20"/>
          <w:szCs w:val="20"/>
        </w:rPr>
        <w:t>.2</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6A4C4D">
        <w:rPr>
          <w:rFonts w:ascii="Arial Narrow" w:hAnsi="Arial Narrow" w:cs="Arial"/>
          <w:sz w:val="20"/>
          <w:szCs w:val="20"/>
        </w:rPr>
        <w:t>IV.3</w:t>
      </w:r>
      <w:r w:rsidR="00AE4179">
        <w:rPr>
          <w:rFonts w:ascii="Arial Narrow" w:hAnsi="Arial Narrow" w:cs="Arial"/>
          <w:sz w:val="20"/>
          <w:szCs w:val="20"/>
        </w:rPr>
        <w:t>.2</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lastRenderedPageBreak/>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lastRenderedPageBreak/>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w:t>
      </w:r>
      <w:r w:rsidRPr="001D76E3">
        <w:rPr>
          <w:rFonts w:ascii="Arial Narrow" w:hAnsi="Arial Narrow" w:cs="Arial"/>
          <w:sz w:val="20"/>
          <w:szCs w:val="20"/>
        </w:rPr>
        <w:lastRenderedPageBreak/>
        <w:t xml:space="preserve">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t>
      </w:r>
      <w:r w:rsidRPr="001D76E3">
        <w:rPr>
          <w:rFonts w:ascii="Arial Narrow" w:hAnsi="Arial Narrow" w:cs="Arial"/>
          <w:sz w:val="20"/>
          <w:szCs w:val="20"/>
        </w:rPr>
        <w:lastRenderedPageBreak/>
        <w:t xml:space="preserve">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w:t>
      </w:r>
      <w:r w:rsidR="005A0F26" w:rsidRPr="001D76E3">
        <w:rPr>
          <w:rFonts w:ascii="Arial Narrow" w:hAnsi="Arial Narrow" w:cs="Arial"/>
          <w:sz w:val="20"/>
          <w:szCs w:val="20"/>
          <w:lang w:eastAsia="en-US"/>
        </w:rPr>
        <w:lastRenderedPageBreak/>
        <w:t xml:space="preserve">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C12D11">
        <w:rPr>
          <w:rFonts w:ascii="Arial Narrow" w:hAnsi="Arial Narrow"/>
          <w:sz w:val="20"/>
          <w:szCs w:val="20"/>
        </w:rPr>
        <w:t>IV.3</w:t>
      </w:r>
      <w:r w:rsidR="00781911">
        <w:rPr>
          <w:rFonts w:ascii="Arial Narrow" w:hAnsi="Arial Narrow"/>
          <w:sz w:val="20"/>
          <w:szCs w:val="20"/>
        </w:rPr>
        <w:t>.2</w:t>
      </w:r>
      <w:r w:rsidRPr="00756AC7">
        <w:rPr>
          <w:rFonts w:ascii="Arial Narrow" w:hAnsi="Arial Narrow"/>
          <w:sz w:val="20"/>
          <w:szCs w:val="20"/>
        </w:rPr>
        <w:t xml:space="preserve"> wartość kosztów pośrednich rozliczanych ryczałtem wynosi </w:t>
      </w:r>
      <w:r w:rsidR="00FA3B56">
        <w:rPr>
          <w:rFonts w:ascii="Arial Narrow" w:hAnsi="Arial Narrow"/>
          <w:sz w:val="20"/>
          <w:szCs w:val="20"/>
        </w:rPr>
        <w:t>3</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koszty pośrednie, rozliczane na podstawie rzeczywiście poniesionych wydatków, nie mogą przekroczyć łącznie 5% bezpośrednich wydatków kwalifikowalnych projektu - łącznie miesięcznie nie więcej niż 20 tys. PLN. </w:t>
      </w:r>
      <w:r w:rsidRPr="00AD2AB7">
        <w:rPr>
          <w:rFonts w:ascii="Arial Narrow" w:hAnsi="Arial Narrow"/>
          <w:sz w:val="20"/>
          <w:szCs w:val="20"/>
        </w:rPr>
        <w:lastRenderedPageBreak/>
        <w:t>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lastRenderedPageBreak/>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wypełnia następujące rubryki: wartość netto, wartość podatku VAT, wydatki ogółem, wydatki kwalifikowalne, wydatki niekwalifiko</w:t>
      </w:r>
      <w:r w:rsidRPr="001D76E3">
        <w:rPr>
          <w:rFonts w:ascii="Arial Narrow" w:hAnsi="Arial Narrow" w:cs="Arial"/>
          <w:sz w:val="20"/>
          <w:szCs w:val="20"/>
          <w:lang w:eastAsia="en-US"/>
        </w:rPr>
        <w:lastRenderedPageBreak/>
        <w:t xml:space="preserve">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lastRenderedPageBreak/>
        <w:t>Cross-financingu</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 zakresie sieci ciepłowniczej</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lastRenderedPageBreak/>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lastRenderedPageBreak/>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lastRenderedPageBreak/>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lastRenderedPageBreak/>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lastRenderedPageBreak/>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 xml:space="preserve">Rozporządzenie (WE) nr 1370/2007 Parlamentu Europejskiego i Rady z dnia 23 października 2007 r. dotyczące </w:t>
      </w:r>
      <w:r w:rsidRPr="009576C7">
        <w:rPr>
          <w:rFonts w:ascii="Arial Narrow" w:hAnsi="Arial Narrow"/>
          <w:i/>
          <w:sz w:val="20"/>
          <w:szCs w:val="20"/>
        </w:rPr>
        <w:lastRenderedPageBreak/>
        <w:t>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w:t>
      </w:r>
      <w:r>
        <w:rPr>
          <w:rFonts w:ascii="Arial Narrow" w:hAnsi="Arial Narrow"/>
          <w:sz w:val="20"/>
          <w:szCs w:val="20"/>
        </w:rPr>
        <w:lastRenderedPageBreak/>
        <w:t xml:space="preserve">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lastRenderedPageBreak/>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lastRenderedPageBreak/>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w:t>
      </w:r>
      <w:r w:rsidRPr="001D76E3">
        <w:rPr>
          <w:rFonts w:ascii="Arial Narrow" w:hAnsi="Arial Narrow" w:cs="Arial"/>
          <w:sz w:val="20"/>
          <w:szCs w:val="20"/>
        </w:rPr>
        <w:lastRenderedPageBreak/>
        <w:t>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 xml:space="preserve">oznaczenie zakupionych środków trwałych, dokumentów itp., </w:t>
      </w:r>
      <w:r w:rsidRPr="001D76E3">
        <w:rPr>
          <w:rFonts w:ascii="Arial Narrow" w:hAnsi="Arial Narrow" w:cs="Arial"/>
          <w:bCs/>
          <w:i/>
          <w:sz w:val="20"/>
          <w:szCs w:val="20"/>
        </w:rPr>
        <w:lastRenderedPageBreak/>
        <w:t>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w:t>
      </w:r>
      <w:r w:rsidRPr="001D76E3">
        <w:rPr>
          <w:rFonts w:ascii="Arial Narrow" w:hAnsi="Arial Narrow" w:cs="Arial"/>
          <w:sz w:val="20"/>
          <w:szCs w:val="20"/>
        </w:rPr>
        <w:lastRenderedPageBreak/>
        <w:t xml:space="preserve">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w:t>
      </w:r>
      <w:r w:rsidRPr="001D76E3">
        <w:rPr>
          <w:rFonts w:ascii="Arial Narrow" w:hAnsi="Arial Narrow" w:cs="Arial"/>
          <w:i/>
          <w:sz w:val="20"/>
          <w:szCs w:val="20"/>
        </w:rPr>
        <w:lastRenderedPageBreak/>
        <w:t>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w:t>
      </w:r>
      <w:r w:rsidRPr="001E5AE2">
        <w:rPr>
          <w:rFonts w:ascii="Arial Narrow" w:hAnsi="Arial Narrow" w:cs="Arial"/>
          <w:sz w:val="20"/>
          <w:szCs w:val="20"/>
        </w:rPr>
        <w:lastRenderedPageBreak/>
        <w:t xml:space="preserve">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7646F9"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 xml:space="preserve">projektów generujących </w:t>
      </w:r>
      <w:r w:rsidR="00A565B3" w:rsidRPr="001D76E3">
        <w:rPr>
          <w:rFonts w:ascii="Arial Narrow" w:hAnsi="Arial Narrow" w:cs="Arial"/>
          <w:i/>
          <w:sz w:val="20"/>
          <w:szCs w:val="20"/>
        </w:rPr>
        <w:lastRenderedPageBreak/>
        <w:t>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lastRenderedPageBreak/>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lastRenderedPageBreak/>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lastRenderedPageBreak/>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 xml:space="preserve">w sprawie szczegółowego zakresu i formy </w:t>
      </w:r>
      <w:r w:rsidRPr="001D76E3">
        <w:rPr>
          <w:rFonts w:ascii="Arial Narrow" w:hAnsi="Arial Narrow" w:cs="Arial"/>
          <w:sz w:val="20"/>
          <w:szCs w:val="20"/>
        </w:rPr>
        <w:lastRenderedPageBreak/>
        <w:t>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 xml:space="preserve">należy załączyć zestawienie zakupywanego sprzętu określające </w:t>
      </w:r>
      <w:r w:rsidRPr="00853C2C">
        <w:rPr>
          <w:rFonts w:ascii="Arial Narrow" w:hAnsi="Arial Narrow" w:cs="Arial"/>
          <w:sz w:val="20"/>
          <w:szCs w:val="20"/>
        </w:rPr>
        <w:lastRenderedPageBreak/>
        <w:t>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lastRenderedPageBreak/>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t>
      </w:r>
      <w:r w:rsidRPr="001D76E3">
        <w:rPr>
          <w:rFonts w:ascii="Arial Narrow" w:hAnsi="Arial Narrow" w:cs="Arial"/>
          <w:sz w:val="20"/>
          <w:szCs w:val="20"/>
        </w:rPr>
        <w:lastRenderedPageBreak/>
        <w:t>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lastRenderedPageBreak/>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 xml:space="preserve">Rozporządzenia </w:t>
      </w:r>
      <w:r w:rsidRPr="001D76E3">
        <w:rPr>
          <w:rFonts w:ascii="Arial Narrow" w:hAnsi="Arial Narrow" w:cs="Arial"/>
          <w:i/>
          <w:sz w:val="20"/>
          <w:szCs w:val="20"/>
        </w:rPr>
        <w:lastRenderedPageBreak/>
        <w:t>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lastRenderedPageBreak/>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 xml:space="preserve">Jeśli ww. dokument rejestrowy albo upoważniający do działania może zostać pozyskany z rejestrów publicznie dostępnych zgodnie z art. 50a </w:t>
      </w:r>
      <w:r w:rsidRPr="00602607">
        <w:rPr>
          <w:rFonts w:ascii="Arial Narrow" w:hAnsi="Arial Narrow" w:cs="Arial"/>
          <w:b/>
          <w:sz w:val="20"/>
          <w:szCs w:val="20"/>
        </w:rPr>
        <w:lastRenderedPageBreak/>
        <w:t>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lastRenderedPageBreak/>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w:t>
      </w:r>
      <w:r w:rsidR="005A0F26" w:rsidRPr="001D76E3">
        <w:rPr>
          <w:rFonts w:ascii="Arial Narrow" w:hAnsi="Arial Narrow" w:cs="Arial"/>
          <w:i/>
          <w:sz w:val="20"/>
          <w:szCs w:val="20"/>
        </w:rPr>
        <w:lastRenderedPageBreak/>
        <w:t xml:space="preserve">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 xml:space="preserve">2010 r. w sprawie </w:t>
      </w:r>
      <w:r w:rsidR="005A0F26" w:rsidRPr="001D76E3">
        <w:rPr>
          <w:rFonts w:ascii="Arial Narrow" w:hAnsi="Arial Narrow" w:cs="Arial"/>
          <w:sz w:val="20"/>
          <w:szCs w:val="20"/>
        </w:rPr>
        <w:lastRenderedPageBreak/>
        <w:t>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lastRenderedPageBreak/>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lastRenderedPageBreak/>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w:t>
      </w:r>
      <w:r w:rsidRPr="009B26F3">
        <w:rPr>
          <w:rFonts w:ascii="Arial Narrow" w:hAnsi="Arial Narrow" w:cs="Arial"/>
          <w:sz w:val="20"/>
          <w:szCs w:val="20"/>
          <w:lang w:val="x-none"/>
        </w:rPr>
        <w:lastRenderedPageBreak/>
        <w:t>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lastRenderedPageBreak/>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w:t>
      </w:r>
      <w:r w:rsidRPr="008704C2">
        <w:rPr>
          <w:rFonts w:ascii="Arial Narrow" w:hAnsi="Arial Narrow" w:cs="Arial"/>
          <w:sz w:val="20"/>
          <w:szCs w:val="20"/>
          <w:lang w:eastAsia="en-GB"/>
        </w:rPr>
        <w:lastRenderedPageBreak/>
        <w:t>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lastRenderedPageBreak/>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 xml:space="preserve">W przypadku niespełnienia warunku wstępnego dotyczącego przepisów w dziedzinie ochrony środowiska (dyrektywa 2011/92/UE i dyrektywa </w:t>
      </w:r>
      <w:r w:rsidRPr="008704C2">
        <w:rPr>
          <w:rFonts w:ascii="Arial Narrow" w:hAnsi="Arial Narrow" w:cs="Arial"/>
          <w:sz w:val="20"/>
          <w:szCs w:val="20"/>
          <w:lang w:eastAsia="en-GB"/>
        </w:rPr>
        <w:lastRenderedPageBreak/>
        <w:t>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w:t>
            </w:r>
            <w:r w:rsidRPr="008704C2">
              <w:rPr>
                <w:rFonts w:ascii="Arial Narrow" w:hAnsi="Arial Narrow" w:cs="Arial"/>
                <w:sz w:val="20"/>
                <w:szCs w:val="20"/>
              </w:rPr>
              <w:lastRenderedPageBreak/>
              <w:t xml:space="preserve">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w:t>
      </w:r>
      <w:r w:rsidRPr="008704C2">
        <w:rPr>
          <w:rFonts w:ascii="Arial Narrow" w:hAnsi="Arial Narrow" w:cs="Arial"/>
          <w:sz w:val="20"/>
          <w:szCs w:val="20"/>
          <w:lang w:eastAsia="en-GB"/>
        </w:rPr>
        <w:lastRenderedPageBreak/>
        <w:t>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 xml:space="preserve">Należy wyjaśnić, w jaki sposób projekt spełnia cele określone w art. 1 dyrektywy ramowej w sprawie odpadów. W szczególności, w jakim stopniu projekt jest spójny z odpowiednim planem gospodarki odpadami (art. 28), </w:t>
      </w:r>
      <w:r w:rsidRPr="008704C2">
        <w:rPr>
          <w:rFonts w:ascii="Arial Narrow" w:hAnsi="Arial Narrow" w:cs="Arial"/>
          <w:sz w:val="20"/>
          <w:szCs w:val="20"/>
          <w:lang w:eastAsia="en-GB"/>
        </w:rPr>
        <w:lastRenderedPageBreak/>
        <w:t>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 xml:space="preserve">Jeżeli przedmiotowe koszty uwzględnia się w kosztach całkowitych, należy oszacować udział kosztów związanych z uruchomieniem rozwiązań na </w:t>
      </w:r>
      <w:r w:rsidRPr="008704C2">
        <w:rPr>
          <w:rFonts w:ascii="Arial Narrow" w:hAnsi="Arial Narrow" w:cs="Arial"/>
          <w:sz w:val="20"/>
          <w:szCs w:val="20"/>
          <w:lang w:eastAsia="en-GB"/>
        </w:rPr>
        <w:lastRenderedPageBreak/>
        <w:t>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lastRenderedPageBreak/>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lastRenderedPageBreak/>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lastRenderedPageBreak/>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lastRenderedPageBreak/>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lastRenderedPageBreak/>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lastRenderedPageBreak/>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lastRenderedPageBreak/>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w:t>
      </w:r>
      <w:r w:rsidRPr="001D76E3">
        <w:rPr>
          <w:rFonts w:ascii="Arial Narrow" w:hAnsi="Arial Narrow" w:cs="Arial"/>
          <w:sz w:val="20"/>
          <w:szCs w:val="20"/>
        </w:rPr>
        <w:lastRenderedPageBreak/>
        <w:t xml:space="preserve">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 xml:space="preserve">Rozporządzenia Komisji (UE) nr 651/2014 z dnia 17 czerwca 2014 r. uznające niektóre rodzaje pomocy za zgodne z rynkiem wewnętrznym </w:t>
      </w:r>
      <w:r w:rsidRPr="001D76E3">
        <w:rPr>
          <w:rFonts w:ascii="Arial Narrow" w:hAnsi="Arial Narrow" w:cs="Arial"/>
          <w:bCs/>
          <w:sz w:val="20"/>
          <w:szCs w:val="20"/>
        </w:rPr>
        <w:lastRenderedPageBreak/>
        <w:t>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lastRenderedPageBreak/>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lastRenderedPageBreak/>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lastRenderedPageBreak/>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lastRenderedPageBreak/>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w:t>
      </w:r>
      <w:r w:rsidRPr="001D76E3">
        <w:rPr>
          <w:rFonts w:ascii="Arial Narrow" w:hAnsi="Arial Narrow" w:cs="Arial"/>
          <w:sz w:val="20"/>
          <w:szCs w:val="20"/>
        </w:rPr>
        <w:lastRenderedPageBreak/>
        <w:t>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 xml:space="preserve">oznaczają wszystkie przedsiębiorstwa, które nie zostały zakwalifikowane jako przedsiębiorstwa powiązane w rozumieniu </w:t>
      </w:r>
      <w:r w:rsidRPr="00D9351A">
        <w:rPr>
          <w:rFonts w:ascii="Arial Narrow" w:hAnsi="Arial Narrow" w:cs="Arial"/>
          <w:bCs/>
          <w:sz w:val="20"/>
          <w:szCs w:val="20"/>
        </w:rPr>
        <w:lastRenderedPageBreak/>
        <w:t>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lastRenderedPageBreak/>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w:t>
      </w:r>
      <w:r w:rsidRPr="001D76E3">
        <w:rPr>
          <w:rFonts w:ascii="Arial Narrow" w:hAnsi="Arial Narrow" w:cs="Arial"/>
          <w:sz w:val="20"/>
          <w:szCs w:val="20"/>
        </w:rPr>
        <w:lastRenderedPageBreak/>
        <w:t>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t>
      </w:r>
      <w:r w:rsidRPr="001D76E3">
        <w:rPr>
          <w:rFonts w:ascii="Arial Narrow" w:hAnsi="Arial Narrow" w:cs="Arial"/>
          <w:sz w:val="20"/>
          <w:szCs w:val="20"/>
        </w:rPr>
        <w:lastRenderedPageBreak/>
        <w:t xml:space="preserve">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lastRenderedPageBreak/>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 xml:space="preserve">podmiot prowadzący działalność </w:t>
      </w:r>
      <w:r w:rsidRPr="001D76E3">
        <w:rPr>
          <w:rFonts w:ascii="Arial Narrow" w:hAnsi="Arial Narrow" w:cs="Arial"/>
          <w:b/>
          <w:sz w:val="20"/>
          <w:szCs w:val="20"/>
        </w:rPr>
        <w:lastRenderedPageBreak/>
        <w:t>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xml:space="preserve">, ponieważ nie wymaga się, aby działalność miała charakter zarobkowy, czy była prowadzona w sposób </w:t>
      </w:r>
      <w:r w:rsidRPr="001D76E3">
        <w:rPr>
          <w:rFonts w:ascii="Arial Narrow" w:hAnsi="Arial Narrow" w:cs="Arial"/>
          <w:color w:val="000000"/>
          <w:sz w:val="20"/>
          <w:szCs w:val="20"/>
        </w:rPr>
        <w:lastRenderedPageBreak/>
        <w:t>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t>
      </w:r>
      <w:r w:rsidRPr="001D76E3">
        <w:rPr>
          <w:rFonts w:ascii="Arial Narrow" w:hAnsi="Arial Narrow" w:cs="Arial"/>
          <w:b/>
          <w:sz w:val="20"/>
          <w:szCs w:val="20"/>
          <w:lang w:eastAsia="en-US"/>
        </w:rPr>
        <w:lastRenderedPageBreak/>
        <w:t xml:space="preserve">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w:t>
      </w:r>
      <w:r w:rsidRPr="001D76E3">
        <w:rPr>
          <w:rFonts w:ascii="Arial Narrow" w:hAnsi="Arial Narrow" w:cs="Arial"/>
          <w:sz w:val="20"/>
          <w:szCs w:val="20"/>
          <w:lang w:eastAsia="en-US"/>
        </w:rPr>
        <w:lastRenderedPageBreak/>
        <w:t>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lastRenderedPageBreak/>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lastRenderedPageBreak/>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w:t>
      </w:r>
      <w:r w:rsidRPr="001D76E3">
        <w:rPr>
          <w:rFonts w:ascii="Arial Narrow" w:hAnsi="Arial Narrow" w:cs="Arial"/>
          <w:b/>
          <w:sz w:val="20"/>
          <w:szCs w:val="20"/>
          <w:lang w:eastAsia="en-US"/>
        </w:rPr>
        <w:lastRenderedPageBreak/>
        <w:t>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w:t>
      </w:r>
      <w:r w:rsidRPr="001D76E3">
        <w:rPr>
          <w:rFonts w:ascii="Arial Narrow" w:hAnsi="Arial Narrow" w:cs="Arial"/>
          <w:i/>
          <w:sz w:val="20"/>
          <w:szCs w:val="20"/>
        </w:rPr>
        <w:lastRenderedPageBreak/>
        <w:t>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lastRenderedPageBreak/>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lastRenderedPageBreak/>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 xml:space="preserve">Istnienie konkurencji można wykluczyć, w sytuacji, gdy działalność gospodarcza prowadzona jest na rynku zamkniętym na konkurencję z mocy przepisów prawa (tzw. monopol prawny), ale pod warunkiem, że wykluczona jest </w:t>
      </w:r>
      <w:r w:rsidRPr="001D76E3">
        <w:rPr>
          <w:rFonts w:ascii="Arial Narrow" w:hAnsi="Arial Narrow" w:cs="Arial"/>
          <w:color w:val="000000"/>
          <w:sz w:val="20"/>
          <w:szCs w:val="20"/>
        </w:rPr>
        <w:lastRenderedPageBreak/>
        <w:t>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w:t>
      </w:r>
      <w:r w:rsidRPr="001D76E3">
        <w:rPr>
          <w:rFonts w:ascii="Arial Narrow" w:hAnsi="Arial Narrow" w:cs="Arial"/>
          <w:color w:val="000000"/>
          <w:sz w:val="20"/>
          <w:szCs w:val="20"/>
        </w:rPr>
        <w:lastRenderedPageBreak/>
        <w:t>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w:t>
      </w:r>
      <w:r w:rsidRPr="001D76E3">
        <w:rPr>
          <w:rFonts w:ascii="Arial Narrow" w:hAnsi="Arial Narrow" w:cs="Arial"/>
          <w:sz w:val="20"/>
          <w:szCs w:val="20"/>
          <w:lang w:eastAsia="en-US"/>
        </w:rPr>
        <w:lastRenderedPageBreak/>
        <w:t xml:space="preserve">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lastRenderedPageBreak/>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w:t>
      </w:r>
      <w:r w:rsidRPr="001D76E3">
        <w:rPr>
          <w:rFonts w:ascii="Arial Narrow" w:hAnsi="Arial Narrow" w:cs="Arial"/>
          <w:i/>
          <w:sz w:val="20"/>
          <w:szCs w:val="20"/>
          <w:lang w:eastAsia="en-US"/>
        </w:rPr>
        <w:lastRenderedPageBreak/>
        <w:t>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w:t>
      </w:r>
      <w:r w:rsidRPr="001D76E3">
        <w:rPr>
          <w:rFonts w:ascii="Arial Narrow" w:hAnsi="Arial Narrow" w:cs="Arial"/>
          <w:color w:val="000000"/>
          <w:sz w:val="20"/>
          <w:szCs w:val="20"/>
        </w:rPr>
        <w:lastRenderedPageBreak/>
        <w:t>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w:t>
      </w:r>
      <w:r w:rsidRPr="001D76E3">
        <w:rPr>
          <w:rFonts w:ascii="Arial Narrow" w:hAnsi="Arial Narrow" w:cs="Arial"/>
          <w:i/>
          <w:sz w:val="20"/>
          <w:szCs w:val="20"/>
        </w:rPr>
        <w:lastRenderedPageBreak/>
        <w:t xml:space="preserve">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 xml:space="preserve">(w przypadku uzyskania pomocy na podstawie aktu normatywnego, który uzależnia nabycie prawa do otrzymania pomocy wyłącznie od spełnienia przesłanek określonych w tym akcie, bez konieczności wydania decyzji lub zawarcia umowy, </w:t>
            </w:r>
            <w:r w:rsidRPr="001D76E3">
              <w:rPr>
                <w:rFonts w:ascii="Arial Narrow" w:hAnsi="Arial Narrow" w:cs="Arial"/>
                <w:b/>
                <w:i/>
                <w:sz w:val="16"/>
                <w:szCs w:val="16"/>
              </w:rPr>
              <w:lastRenderedPageBreak/>
              <w:t>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lastRenderedPageBreak/>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lastRenderedPageBreak/>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w:t>
      </w:r>
      <w:r w:rsidRPr="001D76E3">
        <w:rPr>
          <w:rFonts w:ascii="Arial Narrow" w:hAnsi="Arial Narrow" w:cs="Arial"/>
          <w:sz w:val="20"/>
          <w:szCs w:val="20"/>
        </w:rPr>
        <w:lastRenderedPageBreak/>
        <w:t xml:space="preserve">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w:t>
      </w:r>
      <w:r w:rsidRPr="001D76E3">
        <w:rPr>
          <w:rFonts w:ascii="Arial Narrow" w:hAnsi="Arial Narrow" w:cs="Arial"/>
          <w:sz w:val="20"/>
          <w:szCs w:val="20"/>
        </w:rPr>
        <w:lastRenderedPageBreak/>
        <w:t xml:space="preserve">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w:t>
      </w:r>
      <w:r w:rsidRPr="001D76E3">
        <w:rPr>
          <w:rFonts w:ascii="Arial Narrow" w:hAnsi="Arial Narrow" w:cs="Arial"/>
          <w:sz w:val="20"/>
          <w:szCs w:val="20"/>
        </w:rPr>
        <w:lastRenderedPageBreak/>
        <w:t>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lastRenderedPageBreak/>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w:t>
      </w:r>
      <w:r w:rsidRPr="001D76E3">
        <w:rPr>
          <w:rFonts w:ascii="Arial Narrow" w:hAnsi="Arial Narrow" w:cs="Arial"/>
          <w:i/>
          <w:color w:val="000000"/>
          <w:sz w:val="20"/>
          <w:szCs w:val="20"/>
        </w:rPr>
        <w:lastRenderedPageBreak/>
        <w:t xml:space="preserve">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w:t>
      </w:r>
      <w:r w:rsidRPr="001D76E3">
        <w:rPr>
          <w:rFonts w:ascii="Arial Narrow" w:hAnsi="Arial Narrow" w:cs="Arial"/>
          <w:sz w:val="20"/>
          <w:szCs w:val="20"/>
          <w:lang w:eastAsia="en-US"/>
        </w:rPr>
        <w:lastRenderedPageBreak/>
        <w:t xml:space="preserve">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 xml:space="preserve">Wytycznych w zakresie dofinansowania z programów operacyjnych podmiotów realizujących obowiązek świadczenia </w:t>
      </w:r>
      <w:r w:rsidRPr="001D76E3">
        <w:rPr>
          <w:rFonts w:ascii="Arial Narrow" w:hAnsi="Arial Narrow" w:cs="Arial"/>
          <w:i/>
          <w:sz w:val="20"/>
          <w:szCs w:val="20"/>
          <w:u w:val="single"/>
          <w:lang w:eastAsia="en-US"/>
        </w:rPr>
        <w:lastRenderedPageBreak/>
        <w:t>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lastRenderedPageBreak/>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w:t>
      </w:r>
      <w:r w:rsidRPr="001D76E3">
        <w:rPr>
          <w:rFonts w:ascii="Arial Narrow" w:hAnsi="Arial Narrow" w:cs="Arial"/>
          <w:sz w:val="20"/>
          <w:szCs w:val="20"/>
        </w:rPr>
        <w:lastRenderedPageBreak/>
        <w:t xml:space="preserve">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 xml:space="preserve">W przypadku złożenia wniosku o dofinansowanie przed dokonaniem wyboru partnera prywatnego umowa o dofinansowanie RPO WŁ będzie miała </w:t>
      </w:r>
      <w:r w:rsidRPr="009E63EA">
        <w:rPr>
          <w:rFonts w:ascii="Arial Narrow" w:hAnsi="Arial Narrow" w:cs="Arial"/>
          <w:sz w:val="20"/>
          <w:szCs w:val="20"/>
        </w:rPr>
        <w:lastRenderedPageBreak/>
        <w:t>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lastRenderedPageBreak/>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F9" w:rsidRDefault="007646F9" w:rsidP="00512F18">
      <w:r>
        <w:separator/>
      </w:r>
    </w:p>
  </w:endnote>
  <w:endnote w:type="continuationSeparator" w:id="0">
    <w:p w:rsidR="007646F9" w:rsidRDefault="007646F9"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46093A" w:rsidRDefault="0046093A">
        <w:pPr>
          <w:pStyle w:val="Stopka"/>
          <w:jc w:val="right"/>
        </w:pPr>
        <w:r>
          <w:fldChar w:fldCharType="begin"/>
        </w:r>
        <w:r>
          <w:instrText>PAGE   \* MERGEFORMAT</w:instrText>
        </w:r>
        <w:r>
          <w:fldChar w:fldCharType="separate"/>
        </w:r>
        <w:r w:rsidR="00E71464">
          <w:rPr>
            <w:noProof/>
          </w:rPr>
          <w:t>1</w:t>
        </w:r>
        <w:r>
          <w:rPr>
            <w:noProof/>
          </w:rPr>
          <w:fldChar w:fldCharType="end"/>
        </w:r>
      </w:p>
    </w:sdtContent>
  </w:sdt>
  <w:p w:rsidR="0046093A" w:rsidRDefault="0046093A">
    <w:pPr>
      <w:pStyle w:val="Tekstpodstawowy"/>
      <w:spacing w:line="14" w:lineRule="auto"/>
      <w:rPr>
        <w:sz w:val="20"/>
      </w:rPr>
    </w:pPr>
  </w:p>
  <w:p w:rsidR="0046093A" w:rsidRDefault="004609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F9" w:rsidRDefault="007646F9" w:rsidP="00512F18">
      <w:r>
        <w:separator/>
      </w:r>
    </w:p>
  </w:footnote>
  <w:footnote w:type="continuationSeparator" w:id="0">
    <w:p w:rsidR="007646F9" w:rsidRDefault="007646F9" w:rsidP="00512F18">
      <w:r>
        <w:continuationSeparator/>
      </w:r>
    </w:p>
  </w:footnote>
  <w:footnote w:id="1">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46093A" w:rsidRPr="00446D48" w:rsidRDefault="0046093A"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46093A" w:rsidRPr="00446D48" w:rsidRDefault="0046093A"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46093A" w:rsidRPr="00A55F49" w:rsidRDefault="0046093A"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6093A" w:rsidRDefault="0046093A"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46093A" w:rsidRDefault="0046093A"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46093A" w:rsidRDefault="0046093A"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46093A" w:rsidRPr="004F33F2" w:rsidRDefault="0046093A"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46093A" w:rsidRDefault="0046093A"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46093A" w:rsidRDefault="0046093A"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46093A" w:rsidRDefault="0046093A"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46093A" w:rsidRPr="003907E0" w:rsidRDefault="0046093A"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46093A" w:rsidRDefault="0046093A"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46093A" w:rsidRDefault="0046093A"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46093A" w:rsidRDefault="0046093A"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6093A" w:rsidRDefault="007646F9" w:rsidP="008704C2">
      <w:pPr>
        <w:pStyle w:val="Tekstprzypisudolnego"/>
        <w:jc w:val="both"/>
      </w:pPr>
      <w:hyperlink r:id="rId2" w:history="1">
        <w:r w:rsidR="0046093A" w:rsidRPr="00F66CF3">
          <w:rPr>
            <w:rStyle w:val="Hipercze"/>
            <w:rFonts w:ascii="Arial" w:hAnsi="Arial" w:cs="Arial"/>
            <w:sz w:val="18"/>
            <w:szCs w:val="18"/>
          </w:rPr>
          <w:t>http://ec.europa.eu/clima/policies/adaptation/what/docs/non_paper_guidelines_project_managers_en.pdf</w:t>
        </w:r>
      </w:hyperlink>
      <w:r w:rsidR="0046093A"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46093A" w:rsidRPr="00F66CF3">
          <w:rPr>
            <w:rStyle w:val="Hipercze"/>
            <w:rFonts w:ascii="Arial" w:hAnsi="Arial" w:cs="Arial"/>
            <w:sz w:val="18"/>
            <w:szCs w:val="18"/>
          </w:rPr>
          <w:t>http://ec.europa.eu/environment/eia/home.htm</w:t>
        </w:r>
      </w:hyperlink>
      <w:r w:rsidR="0046093A" w:rsidRPr="00CA4D66">
        <w:rPr>
          <w:rFonts w:ascii="Arial" w:hAnsi="Arial" w:cs="Arial"/>
          <w:color w:val="000000"/>
          <w:sz w:val="18"/>
          <w:szCs w:val="18"/>
        </w:rPr>
        <w:t xml:space="preserve"> </w:t>
      </w:r>
      <w:r w:rsidR="0046093A" w:rsidRPr="00CA4D66">
        <w:rPr>
          <w:rFonts w:ascii="Arial" w:hAnsi="Arial" w:cs="Arial"/>
          <w:color w:val="000000"/>
          <w:sz w:val="24"/>
          <w:szCs w:val="24"/>
        </w:rPr>
        <w:t xml:space="preserve"> </w:t>
      </w:r>
    </w:p>
  </w:footnote>
  <w:footnote w:id="20">
    <w:p w:rsidR="0046093A" w:rsidRPr="00CA4D66" w:rsidRDefault="0046093A"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46093A" w:rsidRDefault="0046093A"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46093A" w:rsidRPr="004054B5" w:rsidRDefault="0046093A"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46093A" w:rsidRPr="004054B5" w:rsidRDefault="0046093A"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46093A" w:rsidRDefault="0046093A"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46093A" w:rsidRPr="00F26BB8" w:rsidRDefault="0046093A"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46093A" w:rsidRDefault="0046093A"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46093A" w:rsidRDefault="0046093A"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46093A" w:rsidRDefault="0046093A"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46093A" w:rsidRDefault="0046093A"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46093A" w:rsidRPr="004054B5" w:rsidRDefault="0046093A"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46093A" w:rsidRPr="008D5991" w:rsidRDefault="0046093A"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6093A" w:rsidRPr="008D5991" w:rsidRDefault="0046093A"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46093A" w:rsidRPr="006B6FC2"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46093A" w:rsidRPr="006B6FC2" w:rsidRDefault="0046093A"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46093A" w:rsidRPr="0079193E" w:rsidRDefault="0046093A"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46093A" w:rsidRPr="004054B5" w:rsidRDefault="0046093A"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6093A" w:rsidRPr="004054B5" w:rsidRDefault="0046093A"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46093A" w:rsidRPr="004054B5" w:rsidRDefault="0046093A"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6093A" w:rsidRDefault="0046093A"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46F9"/>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1464"/>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B70D-065B-4EC5-96B6-B61824F9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255</Pages>
  <Words>32452</Words>
  <Characters>194717</Characters>
  <Application>Microsoft Office Word</Application>
  <DocSecurity>0</DocSecurity>
  <Lines>1622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2019-07-01T11:27:00Z</cp:lastPrinted>
  <dcterms:created xsi:type="dcterms:W3CDTF">2019-07-31T08:40:00Z</dcterms:created>
  <dcterms:modified xsi:type="dcterms:W3CDTF">2019-07-31T08:40:00Z</dcterms:modified>
</cp:coreProperties>
</file>