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lastRenderedPageBreak/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A5F4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271FE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 xml:space="preserve">liczba nowo utworzonych miejsc </w:t>
            </w: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lastRenderedPageBreak/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331441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2FE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B2FE2" w:rsidRPr="0027681C" w:rsidRDefault="008B2FE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E47B9F" w:rsidRPr="0027681C" w:rsidRDefault="008B2FE2" w:rsidP="00331441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 xml:space="preserve">inwestycją 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A5F4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A5F42">
              <w:rPr>
                <w:rFonts w:ascii="Arial Narrow" w:hAnsi="Arial Narrow" w:cs="Arial"/>
                <w:sz w:val="22"/>
                <w:szCs w:val="22"/>
              </w:rPr>
            </w:r>
            <w:r w:rsidR="009A5F4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lastRenderedPageBreak/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680E05" w:rsidRPr="00B179B2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17. </w:t>
      </w:r>
      <w:r w:rsidRPr="00B179B2">
        <w:rPr>
          <w:rFonts w:ascii="Arial Narrow" w:hAnsi="Arial Narrow" w:cs="Arial"/>
          <w:sz w:val="22"/>
          <w:szCs w:val="22"/>
        </w:rPr>
        <w:t>Pozytywnie  zaopiniowany Plan gospodarki niskoemisyjnej lub Strategia ZIT lub Plan mobilności miejskiej bądź dokument równoważny zawierający odniesienia do kwestii przechodzenia na bardziej ekologiczne i zrównoważone systemy transportowe w miastach, dla obszaru, na którym realizowany będzie projekt wraz z dokumentem potwierdzający otrzymanie pozytywnej opinii do w/w dokumentu dla obszaru, na którym będzie realizowany projekt.</w:t>
      </w:r>
    </w:p>
    <w:p w:rsidR="00680E05" w:rsidRPr="00AC5E1E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18. </w:t>
      </w:r>
      <w:r w:rsidRPr="00B179B2">
        <w:rPr>
          <w:rFonts w:ascii="Arial Narrow" w:hAnsi="Arial Narrow" w:cs="Arial"/>
          <w:sz w:val="22"/>
          <w:szCs w:val="22"/>
        </w:rPr>
        <w:t>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 w:cs="Arial"/>
          <w:sz w:val="22"/>
          <w:szCs w:val="22"/>
        </w:rPr>
        <w:t>.</w:t>
      </w:r>
    </w:p>
    <w:p w:rsidR="00680E05" w:rsidRPr="000C7FC3" w:rsidRDefault="00680E05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42" w:rsidRDefault="009A5F42">
      <w:r>
        <w:separator/>
      </w:r>
    </w:p>
  </w:endnote>
  <w:endnote w:type="continuationSeparator" w:id="0">
    <w:p w:rsidR="009A5F42" w:rsidRDefault="009A5F42">
      <w:r>
        <w:continuationSeparator/>
      </w:r>
    </w:p>
  </w:endnote>
  <w:endnote w:type="continuationNotice" w:id="1">
    <w:p w:rsidR="009A5F42" w:rsidRDefault="009A5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C7320C">
      <w:rPr>
        <w:rStyle w:val="Numerstrony"/>
        <w:rFonts w:ascii="Arial Narrow" w:hAnsi="Arial Narrow"/>
        <w:noProof/>
      </w:rPr>
      <w:t>3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42" w:rsidRDefault="009A5F42">
      <w:r>
        <w:separator/>
      </w:r>
    </w:p>
  </w:footnote>
  <w:footnote w:type="continuationSeparator" w:id="0">
    <w:p w:rsidR="009A5F42" w:rsidRDefault="009A5F42">
      <w:r>
        <w:continuationSeparator/>
      </w:r>
    </w:p>
  </w:footnote>
  <w:footnote w:type="continuationNotice" w:id="1">
    <w:p w:rsidR="009A5F42" w:rsidRDefault="009A5F42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5F42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20C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E236-2E0C-4D51-8655-4CAF7BD3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4343</Words>
  <Characters>26062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2019-09-26T05:11:00Z</dcterms:created>
  <dcterms:modified xsi:type="dcterms:W3CDTF">2019-09-26T05:11:00Z</dcterms:modified>
</cp:coreProperties>
</file>