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lastRenderedPageBreak/>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 xml:space="preserve">W celu zalogowania się do Generatora należy uprzednio posiadać zarejestrowane konto Wnioskodawcy, a następnie posługując się e-mailem i </w:t>
      </w:r>
      <w:r w:rsidRPr="00010E86">
        <w:rPr>
          <w:rFonts w:ascii="Arial Narrow" w:hAnsi="Arial Narrow"/>
          <w:sz w:val="20"/>
          <w:szCs w:val="20"/>
        </w:rPr>
        <w:lastRenderedPageBreak/>
        <w:t>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lastRenderedPageBreak/>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lastRenderedPageBreak/>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pt;height:13.9pt" o:ole="">
                  <v:imagedata r:id="rId17" o:title=""/>
                </v:shape>
                <o:OLEObject Type="Embed" ProgID="PBrush" ShapeID="_x0000_i1025" DrawAspect="Content" ObjectID="_1630987061"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lastRenderedPageBreak/>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lastRenderedPageBreak/>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lastRenderedPageBreak/>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lastRenderedPageBreak/>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7229DE" w:rsidRDefault="00D76716" w:rsidP="007229DE">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lastRenderedPageBreak/>
        <w:t xml:space="preserve">- </w:t>
      </w:r>
      <w:r>
        <w:rPr>
          <w:rFonts w:ascii="Arial Narrow" w:hAnsi="Arial Narrow" w:cs="Arial"/>
          <w:sz w:val="20"/>
          <w:szCs w:val="20"/>
        </w:rPr>
        <w:t xml:space="preserve">    </w:t>
      </w:r>
      <w:r w:rsidRPr="007229DE">
        <w:rPr>
          <w:rFonts w:ascii="Arial Narrow" w:hAnsi="Arial Narrow" w:cs="Arial"/>
          <w:sz w:val="20"/>
          <w:szCs w:val="20"/>
        </w:rPr>
        <w:t>Rozporządzenie Parlamentu Europejskiego i Rady nr 1370/2007 z 23 października 2007 r. dotyczącym usług publicznych w zakresie kolejowego i drogowego transportu pasażerskiego oraz uchylającym rozporządzenia Rady (EWG) nr 1191/69 i (EWG) nr 1107/70 wraz ze sprostowaniem.</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7229DE">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w:t>
      </w:r>
      <w:r w:rsidR="007229DE">
        <w:rPr>
          <w:rFonts w:ascii="Arial Narrow" w:hAnsi="Arial Narrow" w:cs="Arial"/>
          <w:sz w:val="20"/>
          <w:szCs w:val="20"/>
        </w:rPr>
        <w:t>ści na lata 2014-2020, z dnia 22</w:t>
      </w:r>
      <w:r w:rsidRPr="00B85617">
        <w:rPr>
          <w:rFonts w:ascii="Arial Narrow" w:hAnsi="Arial Narrow" w:cs="Arial"/>
          <w:sz w:val="20"/>
          <w:szCs w:val="20"/>
        </w:rPr>
        <w:t xml:space="preserve"> </w:t>
      </w:r>
      <w:r w:rsidR="007229DE">
        <w:rPr>
          <w:rFonts w:ascii="Arial Narrow" w:hAnsi="Arial Narrow" w:cs="Arial"/>
          <w:sz w:val="20"/>
          <w:szCs w:val="20"/>
        </w:rPr>
        <w:t>sierpnia 2019</w:t>
      </w:r>
      <w:r w:rsidRPr="00B85617">
        <w:rPr>
          <w:rFonts w:ascii="Arial Narrow" w:hAnsi="Arial Narrow" w:cs="Arial"/>
          <w:sz w:val="20"/>
          <w:szCs w:val="20"/>
        </w:rPr>
        <w:t xml:space="preserve">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7229DE">
        <w:rPr>
          <w:rFonts w:ascii="Arial Narrow" w:hAnsi="Arial Narrow" w:cs="Arial"/>
          <w:sz w:val="20"/>
          <w:szCs w:val="20"/>
        </w:rPr>
        <w:t>Inwestycji i Rozwoju</w:t>
      </w:r>
      <w:r w:rsidRPr="00B85617">
        <w:rPr>
          <w:rFonts w:ascii="Arial Narrow" w:hAnsi="Arial Narrow" w:cs="Arial"/>
          <w:sz w:val="20"/>
          <w:szCs w:val="20"/>
        </w:rPr>
        <w:t xml:space="preserve">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7229DE" w:rsidRDefault="000E1BC2"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7229DE" w:rsidRPr="007229DE" w:rsidRDefault="007229DE"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7229DE">
        <w:rPr>
          <w:rFonts w:ascii="Arial Narrow" w:hAnsi="Arial Narrow" w:cs="Arial"/>
          <w:sz w:val="20"/>
          <w:szCs w:val="20"/>
        </w:rPr>
        <w:lastRenderedPageBreak/>
        <w:t>Wytyczne Ministra Infrastruktury i Rozwoju w zakresie dofinansowania z programów operacyjnych podmiotów realizujących obowiązek świadczenia usług publicznych w transporcie zbiorowym z dnia 19 października 2015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0D7FD7">
        <w:rPr>
          <w:rFonts w:ascii="Arial Narrow" w:hAnsi="Arial Narrow" w:cs="Arial"/>
          <w:color w:val="000000" w:themeColor="text1"/>
          <w:sz w:val="20"/>
          <w:szCs w:val="20"/>
        </w:rPr>
        <w:t xml:space="preserve">II Transport </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0D7FD7">
        <w:rPr>
          <w:rFonts w:ascii="Arial Narrow" w:hAnsi="Arial Narrow" w:cs="Arial"/>
          <w:color w:val="000000" w:themeColor="text1"/>
          <w:sz w:val="20"/>
          <w:szCs w:val="20"/>
        </w:rPr>
        <w:t>III.1 Transport niskoemisyjny miejski”</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0D7FD7">
        <w:rPr>
          <w:rFonts w:ascii="Arial Narrow" w:hAnsi="Arial Narrow" w:cs="Arial"/>
          <w:color w:val="000000" w:themeColor="text1"/>
          <w:sz w:val="20"/>
          <w:szCs w:val="20"/>
        </w:rPr>
        <w:t>III.1.3 Transport niskoemisyjny miejski – miasto Łódź”</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t>
      </w:r>
      <w:r w:rsidRPr="008F33FC">
        <w:rPr>
          <w:rFonts w:ascii="Arial Narrow" w:hAnsi="Arial Narrow"/>
          <w:color w:val="000000" w:themeColor="text1"/>
          <w:sz w:val="20"/>
          <w:szCs w:val="20"/>
        </w:rPr>
        <w:lastRenderedPageBreak/>
        <w:t>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1559C0" w:rsidRDefault="001559C0" w:rsidP="00D76716">
      <w:pPr>
        <w:jc w:val="both"/>
        <w:rPr>
          <w:rFonts w:ascii="Arial Narrow" w:hAnsi="Arial Narrow"/>
          <w:color w:val="000000" w:themeColor="text1"/>
          <w:sz w:val="20"/>
          <w:szCs w:val="20"/>
        </w:rPr>
      </w:pPr>
    </w:p>
    <w:p w:rsidR="000D7FD7" w:rsidRPr="008F33FC" w:rsidRDefault="000D7FD7" w:rsidP="00D76716">
      <w:pPr>
        <w:jc w:val="both"/>
        <w:rPr>
          <w:rFonts w:ascii="Arial Narrow" w:hAnsi="Arial Narrow"/>
          <w:color w:val="000000" w:themeColor="text1"/>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lastRenderedPageBreak/>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0659FB">
        <w:rPr>
          <w:rFonts w:ascii="Arial Narrow" w:hAnsi="Arial Narrow" w:cs="Tahoma,Bold"/>
          <w:bCs/>
          <w:color w:val="000000" w:themeColor="text1"/>
          <w:sz w:val="20"/>
          <w:szCs w:val="20"/>
          <w:lang w:eastAsia="en-US"/>
        </w:rPr>
        <w:t>Kod zakresu interwencji n</w:t>
      </w:r>
      <w:r w:rsidRPr="000659FB">
        <w:rPr>
          <w:rFonts w:ascii="Arial Narrow" w:hAnsi="Arial Narrow"/>
          <w:color w:val="000000" w:themeColor="text1"/>
          <w:sz w:val="20"/>
          <w:szCs w:val="20"/>
        </w:rPr>
        <w:t xml:space="preserve">ależy wybrać dla projektu  z Tabeli 1 będącej załącznikiem I do Rozporządzenia Komisji </w:t>
      </w:r>
      <w:r w:rsidR="00F722FB" w:rsidRPr="000659FB">
        <w:rPr>
          <w:rFonts w:ascii="Arial Narrow" w:hAnsi="Arial Narrow"/>
          <w:color w:val="000000" w:themeColor="text1"/>
          <w:sz w:val="20"/>
          <w:szCs w:val="20"/>
        </w:rPr>
        <w:t xml:space="preserve">(UE) nr 215/2014. W zakresie </w:t>
      </w:r>
      <w:r w:rsidR="000659FB" w:rsidRPr="000659FB">
        <w:rPr>
          <w:rFonts w:ascii="Arial Narrow" w:hAnsi="Arial Narrow"/>
          <w:color w:val="000000" w:themeColor="text1"/>
          <w:sz w:val="20"/>
          <w:szCs w:val="20"/>
        </w:rPr>
        <w:t>III.1.3</w:t>
      </w:r>
      <w:r w:rsidRPr="000659FB">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0659FB" w:rsidRDefault="000659FB" w:rsidP="000659FB">
      <w:pPr>
        <w:jc w:val="both"/>
        <w:rPr>
          <w:rFonts w:ascii="Arial Narrow" w:hAnsi="Arial Narrow"/>
          <w:sz w:val="20"/>
          <w:szCs w:val="20"/>
        </w:rPr>
      </w:pPr>
      <w:r w:rsidRPr="0029387B">
        <w:rPr>
          <w:rFonts w:ascii="Arial Narrow" w:hAnsi="Arial Narrow"/>
          <w:sz w:val="20"/>
          <w:szCs w:val="20"/>
        </w:rPr>
        <w:t>043</w:t>
      </w:r>
      <w:r w:rsidR="000A761B">
        <w:rPr>
          <w:rFonts w:ascii="Arial Narrow" w:hAnsi="Arial Narrow"/>
          <w:sz w:val="20"/>
          <w:szCs w:val="20"/>
        </w:rPr>
        <w:t xml:space="preserve"> - </w:t>
      </w:r>
      <w:r w:rsidRPr="0029387B">
        <w:rPr>
          <w:rFonts w:ascii="Arial Narrow" w:hAnsi="Arial Narrow"/>
          <w:sz w:val="20"/>
          <w:szCs w:val="20"/>
        </w:rPr>
        <w:t>Infrastruktura na potrzeby czystego transportu miejskiego i jego promocja (w tym wyposażenie i tabor)</w:t>
      </w:r>
    </w:p>
    <w:p w:rsidR="000A761B" w:rsidRPr="0029387B" w:rsidRDefault="000A761B" w:rsidP="000659FB">
      <w:pPr>
        <w:jc w:val="both"/>
        <w:rPr>
          <w:rFonts w:ascii="Arial Narrow" w:hAnsi="Arial Narrow"/>
          <w:sz w:val="20"/>
          <w:szCs w:val="20"/>
        </w:rPr>
      </w:pPr>
      <w:r w:rsidRPr="008622FC">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6A4C4D">
      <w:pPr>
        <w:tabs>
          <w:tab w:val="left" w:pos="360"/>
        </w:tabs>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rsidR="000D7FD7" w:rsidRDefault="000D7FD7" w:rsidP="001D76E3">
      <w:pPr>
        <w:spacing w:after="120" w:line="276" w:lineRule="auto"/>
        <w:jc w:val="both"/>
        <w:rPr>
          <w:rFonts w:ascii="Arial Narrow" w:hAnsi="Arial Narrow" w:cs="Arial"/>
          <w:sz w:val="20"/>
          <w:szCs w:val="20"/>
        </w:rPr>
      </w:pPr>
    </w:p>
    <w:p w:rsidR="001559C0" w:rsidRPr="001D76E3" w:rsidRDefault="001559C0"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xml:space="preserve">, upoważnionej </w:t>
      </w:r>
      <w:r w:rsidRPr="001D76E3">
        <w:rPr>
          <w:rFonts w:ascii="Arial Narrow" w:hAnsi="Arial Narrow" w:cs="Arial"/>
          <w:sz w:val="20"/>
          <w:szCs w:val="20"/>
        </w:rPr>
        <w:lastRenderedPageBreak/>
        <w:t>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 xml:space="preserve">Należy podać również imię i nazwisko, numer telefonu, adres poczty elektronicznej) osoby upoważnionej do kontaktów. </w:t>
      </w:r>
    </w:p>
    <w:p w:rsidR="004F50EC" w:rsidRDefault="00B6420B" w:rsidP="000D7FD7">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D7FD7" w:rsidRPr="000D7FD7" w:rsidRDefault="000D7FD7" w:rsidP="000D7FD7">
      <w:pPr>
        <w:jc w:val="both"/>
        <w:rPr>
          <w:rFonts w:ascii="Arial Narrow" w:hAnsi="Arial Narrow"/>
          <w:color w:val="000000" w:themeColor="text1"/>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0D7FD7">
      <w:pPr>
        <w:spacing w:before="6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9" w:name="_Toc416444998"/>
      <w:r w:rsidRPr="00091E04">
        <w:rPr>
          <w:rFonts w:ascii="Arial Narrow" w:hAnsi="Arial Narrow"/>
          <w:bCs/>
          <w:color w:val="000000" w:themeColor="text1"/>
          <w:sz w:val="20"/>
          <w:szCs w:val="20"/>
        </w:rPr>
        <w:t>Województwa Łódzkiego na lata 2014-2020</w:t>
      </w:r>
      <w:bookmarkEnd w:id="19"/>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 xml:space="preserve">Wnioskodawca, poprzez wstawienie znaku „X” w odpowiedniej rubryce, określa charakter projektu w odniesieniu do kwestii realizacji polityki równych szans. Wnioskodawca ma do wyboru pozytywny, neutralny lub negatywny </w:t>
      </w:r>
      <w:r>
        <w:rPr>
          <w:rFonts w:ascii="Arial Narrow" w:hAnsi="Arial Narrow"/>
          <w:sz w:val="20"/>
          <w:szCs w:val="20"/>
        </w:rPr>
        <w:lastRenderedPageBreak/>
        <w:t>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lastRenderedPageBreak/>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Wszystkie projekty realizowane w ramach RPO WŁ muszą być zgodne z przepisami wspólnotowymi i krajowymi regulującymi kwestie konkurencji i za</w:t>
      </w:r>
      <w:r w:rsidRPr="001D76E3">
        <w:rPr>
          <w:rFonts w:ascii="Arial Narrow" w:hAnsi="Arial Narrow" w:cs="Arial"/>
          <w:sz w:val="20"/>
          <w:szCs w:val="20"/>
        </w:rPr>
        <w:lastRenderedPageBreak/>
        <w:t xml:space="preserve">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4F50EC"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wskazać sposób, w jaki projekt przyczynia się do realizacji celów </w:t>
      </w:r>
      <w:r w:rsidR="00D937AD"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513450"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wykazać, iż przedmiotowy projekt wpisuje się w typy projektów wskazane w pkt. 9 SzOOP dla </w:t>
      </w:r>
      <w:r w:rsidR="0030218B"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określić miejsce realizacji projektu poprzez podanie województwa, powiatu i gminy, gdzie realizowany jest dany projekt. Dane te </w:t>
      </w:r>
      <w:r w:rsidRPr="001D76E3">
        <w:rPr>
          <w:rFonts w:ascii="Arial Narrow" w:hAnsi="Arial Narrow" w:cs="Arial"/>
          <w:sz w:val="20"/>
          <w:szCs w:val="20"/>
        </w:rPr>
        <w:lastRenderedPageBreak/>
        <w:t>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w:t>
      </w:r>
      <w:r w:rsidRPr="001D76E3">
        <w:rPr>
          <w:rFonts w:ascii="Arial Narrow" w:hAnsi="Arial Narrow" w:cs="Arial"/>
          <w:sz w:val="20"/>
          <w:szCs w:val="20"/>
        </w:rPr>
        <w:lastRenderedPageBreak/>
        <w:t>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lastRenderedPageBreak/>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 xml:space="preserve">załącznika nr </w:t>
      </w:r>
      <w:r w:rsidRPr="001D76E3">
        <w:rPr>
          <w:rFonts w:ascii="Arial Narrow" w:hAnsi="Arial Narrow" w:cs="Arial"/>
          <w:b/>
          <w:sz w:val="20"/>
          <w:szCs w:val="20"/>
          <w:u w:val="single"/>
        </w:rPr>
        <w:lastRenderedPageBreak/>
        <w:t>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lastRenderedPageBreak/>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4D1C31">
        <w:rPr>
          <w:rFonts w:ascii="Arial Narrow" w:hAnsi="Arial Narrow"/>
          <w:sz w:val="20"/>
          <w:szCs w:val="20"/>
        </w:rPr>
        <w:t xml:space="preserve">Należy pamiętać, że dla projektów realizowanych w ramach działania </w:t>
      </w:r>
      <w:r w:rsidR="000659FB" w:rsidRPr="004D1C31">
        <w:rPr>
          <w:rFonts w:ascii="Arial Narrow" w:hAnsi="Arial Narrow"/>
          <w:sz w:val="20"/>
          <w:szCs w:val="20"/>
        </w:rPr>
        <w:t>III.1</w:t>
      </w:r>
      <w:r w:rsidRPr="004D1C31">
        <w:rPr>
          <w:rFonts w:ascii="Arial Narrow" w:hAnsi="Arial Narrow"/>
          <w:sz w:val="20"/>
          <w:szCs w:val="20"/>
        </w:rPr>
        <w:t xml:space="preserve"> wartość kosztów pośrednich rozliczanych ryczałtem wynosi </w:t>
      </w:r>
      <w:r w:rsidR="000659FB" w:rsidRPr="004D1C31">
        <w:rPr>
          <w:rFonts w:ascii="Arial Narrow" w:hAnsi="Arial Narrow"/>
          <w:sz w:val="20"/>
          <w:szCs w:val="20"/>
        </w:rPr>
        <w:t>1</w:t>
      </w:r>
      <w:r w:rsidRPr="004D1C31">
        <w:rPr>
          <w:rFonts w:ascii="Arial Narrow" w:hAnsi="Arial Narrow"/>
          <w:sz w:val="20"/>
          <w:szCs w:val="20"/>
        </w:rPr>
        <w:t xml:space="preserve"> %</w:t>
      </w:r>
      <w:r w:rsidR="00756AC7" w:rsidRPr="004D1C31">
        <w:rPr>
          <w:rFonts w:ascii="Arial Narrow" w:hAnsi="Arial Narrow"/>
          <w:sz w:val="20"/>
          <w:szCs w:val="20"/>
        </w:rPr>
        <w:t xml:space="preserve"> całkowitych</w:t>
      </w:r>
      <w:r w:rsidRPr="004D1C31">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1559C0" w:rsidRPr="00545230" w:rsidRDefault="001559C0" w:rsidP="00201F4F">
      <w:pPr>
        <w:autoSpaceDE w:val="0"/>
        <w:autoSpaceDN w:val="0"/>
        <w:adjustRightInd w:val="0"/>
        <w:spacing w:before="120" w:line="276" w:lineRule="auto"/>
        <w:jc w:val="both"/>
        <w:rPr>
          <w:rFonts w:ascii="Arial Narrow" w:hAnsi="Arial Narrow" w:cs="Arial"/>
          <w:sz w:val="20"/>
          <w:szCs w:val="20"/>
          <w:lang w:eastAsia="en-US"/>
        </w:rPr>
      </w:pP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W rubryce „Ogółem w projekcie” należy podać sumę odpowiednich wartości z rubryki „Wydatki rzeczywiście ponoszone” oraz rubryki „Wydatki rozliczane </w:t>
      </w:r>
      <w:r w:rsidRPr="00226D7D">
        <w:rPr>
          <w:rFonts w:ascii="Arial Narrow" w:hAnsi="Arial Narrow" w:cs="Tahoma"/>
          <w:sz w:val="20"/>
          <w:szCs w:val="20"/>
          <w:lang w:eastAsia="en-US"/>
        </w:rPr>
        <w:lastRenderedPageBreak/>
        <w:t>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Cross-financingu</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1559C0" w:rsidRPr="001D76E3" w:rsidRDefault="001559C0" w:rsidP="001D76E3">
      <w:pPr>
        <w:spacing w:line="276" w:lineRule="auto"/>
        <w:jc w:val="both"/>
        <w:rPr>
          <w:rFonts w:ascii="Arial Narrow" w:hAnsi="Arial Narrow" w:cs="Arial"/>
          <w:sz w:val="20"/>
          <w:szCs w:val="20"/>
        </w:rPr>
      </w:pP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lastRenderedPageBreak/>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w:t>
      </w:r>
      <w:r w:rsidRPr="002E4BF9">
        <w:rPr>
          <w:rFonts w:ascii="Arial Narrow" w:hAnsi="Arial Narrow"/>
          <w:b/>
          <w:bCs/>
          <w:sz w:val="20"/>
          <w:szCs w:val="20"/>
          <w:u w:val="single"/>
        </w:rPr>
        <w:lastRenderedPageBreak/>
        <w:t xml:space="preserve">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w:t>
      </w:r>
      <w:r w:rsidRPr="001D76E3">
        <w:rPr>
          <w:rFonts w:ascii="Arial Narrow" w:hAnsi="Arial Narrow" w:cs="Arial"/>
          <w:i/>
          <w:sz w:val="20"/>
          <w:szCs w:val="20"/>
        </w:rPr>
        <w:lastRenderedPageBreak/>
        <w:t>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385BA8"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1559C0"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1559C0" w:rsidRDefault="0003544D"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r w:rsidR="001559C0">
        <w:rPr>
          <w:rFonts w:ascii="Arial Narrow" w:hAnsi="Arial Narrow" w:cs="Arial"/>
          <w:sz w:val="20"/>
          <w:szCs w:val="20"/>
        </w:rPr>
        <w:t xml:space="preserve"> </w:t>
      </w:r>
    </w:p>
    <w:p w:rsidR="001559C0" w:rsidRDefault="005A0F26"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1559C0" w:rsidRDefault="00715969"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0E713B" w:rsidRPr="001D76E3" w:rsidRDefault="000E713B"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w:t>
      </w:r>
      <w:r w:rsidRPr="00D70DB8">
        <w:rPr>
          <w:rFonts w:ascii="Arial Narrow" w:hAnsi="Arial Narrow" w:cs="Arial"/>
          <w:sz w:val="20"/>
          <w:szCs w:val="20"/>
        </w:rPr>
        <w:lastRenderedPageBreak/>
        <w:t xml:space="preserve">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lastRenderedPageBreak/>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w:t>
      </w:r>
      <w:r w:rsidRPr="00853C2C">
        <w:rPr>
          <w:rFonts w:ascii="Arial Narrow" w:hAnsi="Arial Narrow" w:cs="Arial"/>
          <w:sz w:val="20"/>
          <w:szCs w:val="20"/>
        </w:rPr>
        <w:lastRenderedPageBreak/>
        <w:t>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lastRenderedPageBreak/>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w:t>
      </w:r>
      <w:r w:rsidRPr="001F50AA">
        <w:rPr>
          <w:rFonts w:ascii="Arial Narrow" w:hAnsi="Arial Narrow" w:cs="Arial"/>
          <w:sz w:val="20"/>
          <w:szCs w:val="20"/>
        </w:rPr>
        <w:lastRenderedPageBreak/>
        <w:t>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lastRenderedPageBreak/>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1559C0" w:rsidRPr="00A67D47" w:rsidRDefault="001559C0" w:rsidP="00A67D47">
      <w:pPr>
        <w:autoSpaceDE w:val="0"/>
        <w:autoSpaceDN w:val="0"/>
        <w:adjustRightInd w:val="0"/>
        <w:spacing w:line="276" w:lineRule="auto"/>
        <w:jc w:val="both"/>
        <w:rPr>
          <w:rFonts w:ascii="Arial Narrow" w:hAnsi="Arial Narrow" w:cs="Arial"/>
          <w:sz w:val="20"/>
          <w:szCs w:val="20"/>
        </w:rPr>
      </w:pPr>
    </w:p>
    <w:p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1559C0" w:rsidRPr="00F26F84" w:rsidRDefault="001559C0" w:rsidP="00853C2C">
      <w:pPr>
        <w:autoSpaceDE w:val="0"/>
        <w:autoSpaceDN w:val="0"/>
        <w:adjustRightInd w:val="0"/>
        <w:spacing w:line="276" w:lineRule="auto"/>
        <w:ind w:left="426" w:hanging="426"/>
        <w:jc w:val="both"/>
        <w:rPr>
          <w:rFonts w:ascii="Arial Narrow" w:hAnsi="Arial Narrow" w:cs="Arial"/>
          <w:b/>
          <w:sz w:val="20"/>
          <w:szCs w:val="20"/>
        </w:rPr>
      </w:pP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lastRenderedPageBreak/>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lastRenderedPageBreak/>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w:t>
      </w:r>
      <w:r w:rsidR="005A0F26" w:rsidRPr="001D76E3">
        <w:rPr>
          <w:rFonts w:ascii="Arial Narrow" w:hAnsi="Arial Narrow" w:cs="Arial"/>
          <w:i/>
          <w:sz w:val="20"/>
          <w:szCs w:val="20"/>
        </w:rPr>
        <w:lastRenderedPageBreak/>
        <w:t xml:space="preserve">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 między innymi </w:t>
      </w:r>
      <w:r w:rsidRPr="009B26F3">
        <w:rPr>
          <w:rFonts w:ascii="Arial Narrow" w:hAnsi="Arial Narrow" w:cs="Arial"/>
          <w:sz w:val="20"/>
          <w:szCs w:val="20"/>
          <w:lang w:val="x-none"/>
        </w:rPr>
        <w:lastRenderedPageBreak/>
        <w:t>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lastRenderedPageBreak/>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w:t>
      </w:r>
      <w:r w:rsidRPr="008704C2">
        <w:rPr>
          <w:rFonts w:ascii="Arial Narrow" w:hAnsi="Arial Narrow" w:cs="Arial"/>
          <w:sz w:val="20"/>
          <w:szCs w:val="20"/>
          <w:lang w:eastAsia="en-GB"/>
        </w:rPr>
        <w:lastRenderedPageBreak/>
        <w:t>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xml:space="preserve">, należy załączyć następujące dokumenty i skorzystać z poniższego pola </w:t>
      </w:r>
      <w:r w:rsidRPr="008704C2">
        <w:rPr>
          <w:rFonts w:ascii="Arial Narrow" w:hAnsi="Arial Narrow" w:cs="Arial"/>
          <w:sz w:val="20"/>
          <w:szCs w:val="20"/>
          <w:lang w:eastAsia="en-GB"/>
        </w:rPr>
        <w:lastRenderedPageBreak/>
        <w:t>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lastRenderedPageBreak/>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w:t>
            </w:r>
            <w:r w:rsidRPr="008704C2">
              <w:rPr>
                <w:rFonts w:ascii="Arial Narrow" w:hAnsi="Arial Narrow" w:cs="Arial"/>
                <w:sz w:val="20"/>
                <w:szCs w:val="20"/>
              </w:rPr>
              <w:lastRenderedPageBreak/>
              <w:t xml:space="preserve">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 xml:space="preserve">Jeżeli przedmiotowe koszty uwzględnia się w kosztach całkowitych, należy oszacować udział kosztów związanych z uruchomieniem </w:t>
      </w:r>
      <w:r w:rsidRPr="008704C2">
        <w:rPr>
          <w:rFonts w:ascii="Arial Narrow" w:hAnsi="Arial Narrow" w:cs="Arial"/>
          <w:sz w:val="20"/>
          <w:szCs w:val="20"/>
          <w:lang w:eastAsia="en-GB"/>
        </w:rPr>
        <w:lastRenderedPageBreak/>
        <w:t>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w:t>
            </w:r>
            <w:r w:rsidRPr="008704C2">
              <w:rPr>
                <w:rFonts w:ascii="Arial Narrow" w:hAnsi="Arial Narrow" w:cs="Arial"/>
                <w:color w:val="000000"/>
                <w:sz w:val="20"/>
                <w:szCs w:val="20"/>
              </w:rPr>
              <w:lastRenderedPageBreak/>
              <w:t xml:space="preserve">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w:t>
            </w:r>
            <w:r w:rsidRPr="008704C2">
              <w:rPr>
                <w:rFonts w:ascii="Arial Narrow" w:hAnsi="Arial Narrow" w:cs="Arial"/>
                <w:sz w:val="20"/>
                <w:szCs w:val="20"/>
              </w:rPr>
              <w:lastRenderedPageBreak/>
              <w:t xml:space="preserve">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lastRenderedPageBreak/>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lastRenderedPageBreak/>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Pr="001D76E3" w:rsidRDefault="001559C0" w:rsidP="001D76E3">
      <w:pPr>
        <w:spacing w:line="276" w:lineRule="auto"/>
        <w:ind w:left="142"/>
        <w:jc w:val="both"/>
        <w:rPr>
          <w:rFonts w:ascii="Arial Narrow" w:hAnsi="Arial Narrow" w:cs="Arial"/>
          <w:sz w:val="20"/>
          <w:szCs w:val="20"/>
        </w:rPr>
      </w:pP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lastRenderedPageBreak/>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w:t>
      </w:r>
      <w:r w:rsidRPr="001D76E3">
        <w:rPr>
          <w:rFonts w:ascii="Arial Narrow" w:hAnsi="Arial Narrow" w:cs="Arial"/>
          <w:sz w:val="20"/>
          <w:szCs w:val="20"/>
        </w:rPr>
        <w:lastRenderedPageBreak/>
        <w:t>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w:t>
      </w:r>
      <w:r w:rsidRPr="001D76E3">
        <w:rPr>
          <w:rFonts w:ascii="Arial Narrow" w:hAnsi="Arial Narrow" w:cs="Arial"/>
          <w:sz w:val="20"/>
          <w:szCs w:val="20"/>
        </w:rPr>
        <w:lastRenderedPageBreak/>
        <w:t xml:space="preserve">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lastRenderedPageBreak/>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lastRenderedPageBreak/>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Zgodnie z art. 107 ust. 1 TFUE, zasady dotyczące pomocy publicznej mają zastosowanie wyłącznie do przedsiębiorców. Za przedsię</w:t>
      </w:r>
      <w:r w:rsidRPr="001D76E3">
        <w:rPr>
          <w:rFonts w:ascii="Arial Narrow" w:hAnsi="Arial Narrow" w:cs="Arial"/>
          <w:sz w:val="20"/>
          <w:szCs w:val="20"/>
        </w:rPr>
        <w:lastRenderedPageBreak/>
        <w:t xml:space="preserve">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w:t>
      </w:r>
      <w:r w:rsidRPr="001D76E3">
        <w:rPr>
          <w:rFonts w:ascii="Arial Narrow" w:hAnsi="Arial Narrow" w:cs="Arial"/>
          <w:b/>
          <w:sz w:val="20"/>
          <w:szCs w:val="20"/>
          <w:lang w:eastAsia="en-US"/>
        </w:rPr>
        <w:lastRenderedPageBreak/>
        <w:t xml:space="preserve">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 xml:space="preserve">Wytycznych w zakresie reguł dofinansowania z programów operacyjnych podmiotów realizujących obowiązek świadczenia usług w ogólnym interesie gospodarczym w ramach </w:t>
      </w:r>
      <w:r w:rsidRPr="001D76E3">
        <w:rPr>
          <w:rFonts w:ascii="Arial Narrow" w:hAnsi="Arial Narrow" w:cs="Arial"/>
          <w:i/>
          <w:sz w:val="20"/>
          <w:szCs w:val="20"/>
        </w:rPr>
        <w:lastRenderedPageBreak/>
        <w:t>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nie prowadzi wprost do eks</w:t>
      </w:r>
      <w:r w:rsidRPr="001D76E3">
        <w:rPr>
          <w:rFonts w:ascii="Arial Narrow" w:hAnsi="Arial Narrow" w:cs="Arial"/>
          <w:bCs/>
          <w:sz w:val="20"/>
          <w:szCs w:val="20"/>
          <w:lang w:eastAsia="en-US"/>
        </w:rPr>
        <w:lastRenderedPageBreak/>
        <w:t xml:space="preserve">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w:t>
      </w:r>
      <w:r w:rsidRPr="001D76E3">
        <w:rPr>
          <w:rFonts w:ascii="Arial Narrow" w:hAnsi="Arial Narrow" w:cs="Arial"/>
          <w:color w:val="000000"/>
          <w:sz w:val="20"/>
          <w:szCs w:val="20"/>
        </w:rPr>
        <w:lastRenderedPageBreak/>
        <w:t>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w:t>
      </w:r>
      <w:r w:rsidRPr="001D76E3">
        <w:rPr>
          <w:rFonts w:ascii="Arial Narrow" w:hAnsi="Arial Narrow" w:cs="Arial"/>
          <w:sz w:val="20"/>
          <w:szCs w:val="20"/>
          <w:lang w:eastAsia="en-US"/>
        </w:rPr>
        <w:lastRenderedPageBreak/>
        <w:t xml:space="preserve">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lastRenderedPageBreak/>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W kolejnych kolumnach należy po</w:t>
      </w:r>
      <w:r w:rsidRPr="001D76E3">
        <w:rPr>
          <w:rFonts w:ascii="Arial Narrow" w:hAnsi="Arial Narrow" w:cs="Arial"/>
          <w:i/>
          <w:sz w:val="20"/>
          <w:szCs w:val="20"/>
        </w:rPr>
        <w:lastRenderedPageBreak/>
        <w:t xml:space="preserve">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w:t>
      </w:r>
      <w:r w:rsidRPr="001D76E3">
        <w:rPr>
          <w:rFonts w:ascii="Arial Narrow" w:hAnsi="Arial Narrow" w:cs="Arial"/>
          <w:sz w:val="20"/>
          <w:szCs w:val="20"/>
        </w:rPr>
        <w:lastRenderedPageBreak/>
        <w:t xml:space="preserve">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w:t>
      </w:r>
      <w:r w:rsidRPr="001D76E3">
        <w:rPr>
          <w:rFonts w:ascii="Arial Narrow" w:hAnsi="Arial Narrow" w:cs="Arial"/>
          <w:bCs/>
          <w:color w:val="000000"/>
          <w:sz w:val="20"/>
          <w:szCs w:val="20"/>
        </w:rPr>
        <w:lastRenderedPageBreak/>
        <w:t>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w:t>
      </w:r>
      <w:r w:rsidRPr="001D76E3">
        <w:rPr>
          <w:rFonts w:ascii="Arial Narrow" w:hAnsi="Arial Narrow" w:cs="Arial"/>
          <w:sz w:val="20"/>
          <w:szCs w:val="20"/>
          <w:lang w:eastAsia="en-US"/>
        </w:rPr>
        <w:lastRenderedPageBreak/>
        <w:t>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lastRenderedPageBreak/>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D32E2B">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A8" w:rsidRDefault="00385BA8" w:rsidP="00512F18">
      <w:r>
        <w:separator/>
      </w:r>
    </w:p>
  </w:endnote>
  <w:endnote w:type="continuationSeparator" w:id="0">
    <w:p w:rsidR="00385BA8" w:rsidRDefault="00385BA8"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7229DE" w:rsidRDefault="007229DE">
        <w:pPr>
          <w:pStyle w:val="Stopka"/>
          <w:jc w:val="right"/>
        </w:pPr>
        <w:r>
          <w:fldChar w:fldCharType="begin"/>
        </w:r>
        <w:r>
          <w:instrText>PAGE   \* MERGEFORMAT</w:instrText>
        </w:r>
        <w:r>
          <w:fldChar w:fldCharType="separate"/>
        </w:r>
        <w:r w:rsidR="005F2CC9">
          <w:rPr>
            <w:noProof/>
          </w:rPr>
          <w:t>1</w:t>
        </w:r>
        <w:r>
          <w:rPr>
            <w:noProof/>
          </w:rPr>
          <w:fldChar w:fldCharType="end"/>
        </w:r>
      </w:p>
    </w:sdtContent>
  </w:sdt>
  <w:p w:rsidR="007229DE" w:rsidRDefault="007229DE">
    <w:pPr>
      <w:pStyle w:val="Tekstpodstawowy"/>
      <w:spacing w:line="14" w:lineRule="auto"/>
      <w:rPr>
        <w:sz w:val="20"/>
      </w:rPr>
    </w:pPr>
  </w:p>
  <w:p w:rsidR="007229DE" w:rsidRDefault="007229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A8" w:rsidRDefault="00385BA8" w:rsidP="00512F18">
      <w:r>
        <w:separator/>
      </w:r>
    </w:p>
  </w:footnote>
  <w:footnote w:type="continuationSeparator" w:id="0">
    <w:p w:rsidR="00385BA8" w:rsidRDefault="00385BA8" w:rsidP="00512F18">
      <w:r>
        <w:continuationSeparator/>
      </w:r>
    </w:p>
  </w:footnote>
  <w:footnote w:id="1">
    <w:p w:rsidR="007229DE" w:rsidRPr="00446D48" w:rsidRDefault="007229DE"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7229DE" w:rsidRPr="00446D48" w:rsidRDefault="007229DE"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7229DE" w:rsidRPr="00446D48" w:rsidRDefault="007229DE"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7229DE" w:rsidRPr="00446D48" w:rsidRDefault="007229DE"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7229DE" w:rsidRPr="00A55F49" w:rsidRDefault="007229DE"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7229DE" w:rsidRDefault="007229DE"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7229DE" w:rsidRDefault="007229DE"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7229DE" w:rsidRDefault="007229DE"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7229DE" w:rsidRDefault="007229DE"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7229DE" w:rsidRPr="004F33F2" w:rsidRDefault="007229DE"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7229DE" w:rsidRDefault="007229DE"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7229DE" w:rsidRDefault="007229DE"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7229DE" w:rsidRDefault="007229DE"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7229DE" w:rsidRDefault="007229DE"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7229DE" w:rsidRPr="003907E0" w:rsidRDefault="007229DE"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7229DE" w:rsidRDefault="007229DE"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7229DE" w:rsidRDefault="007229DE"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7229DE" w:rsidRDefault="007229DE"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7229DE" w:rsidRDefault="007229DE"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7229DE" w:rsidRPr="00CA4D66" w:rsidRDefault="007229DE"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7229DE" w:rsidRDefault="00385BA8" w:rsidP="008704C2">
      <w:pPr>
        <w:pStyle w:val="Tekstprzypisudolnego"/>
        <w:jc w:val="both"/>
      </w:pPr>
      <w:hyperlink r:id="rId2" w:history="1">
        <w:r w:rsidR="007229DE" w:rsidRPr="00F66CF3">
          <w:rPr>
            <w:rStyle w:val="Hipercze"/>
            <w:rFonts w:ascii="Arial" w:hAnsi="Arial" w:cs="Arial"/>
            <w:sz w:val="18"/>
            <w:szCs w:val="18"/>
          </w:rPr>
          <w:t>http://ec.europa.eu/clima/policies/adaptation/what/docs/non_paper_guidelines_project_managers_en.pdf</w:t>
        </w:r>
      </w:hyperlink>
      <w:r w:rsidR="007229DE"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7229DE" w:rsidRPr="00F66CF3">
          <w:rPr>
            <w:rStyle w:val="Hipercze"/>
            <w:rFonts w:ascii="Arial" w:hAnsi="Arial" w:cs="Arial"/>
            <w:sz w:val="18"/>
            <w:szCs w:val="18"/>
          </w:rPr>
          <w:t>http://ec.europa.eu/environment/eia/home.htm</w:t>
        </w:r>
      </w:hyperlink>
      <w:r w:rsidR="007229DE" w:rsidRPr="00CA4D66">
        <w:rPr>
          <w:rFonts w:ascii="Arial" w:hAnsi="Arial" w:cs="Arial"/>
          <w:color w:val="000000"/>
          <w:sz w:val="18"/>
          <w:szCs w:val="18"/>
        </w:rPr>
        <w:t xml:space="preserve"> </w:t>
      </w:r>
      <w:r w:rsidR="007229DE" w:rsidRPr="00CA4D66">
        <w:rPr>
          <w:rFonts w:ascii="Arial" w:hAnsi="Arial" w:cs="Arial"/>
          <w:color w:val="000000"/>
          <w:sz w:val="24"/>
          <w:szCs w:val="24"/>
        </w:rPr>
        <w:t xml:space="preserve"> </w:t>
      </w:r>
    </w:p>
  </w:footnote>
  <w:footnote w:id="20">
    <w:p w:rsidR="007229DE" w:rsidRPr="00CA4D66" w:rsidRDefault="007229DE"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7229DE" w:rsidRDefault="007229DE"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7229DE" w:rsidRPr="004054B5" w:rsidRDefault="007229DE"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7229DE" w:rsidRPr="004054B5" w:rsidRDefault="007229DE"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7229DE" w:rsidRPr="004054B5" w:rsidRDefault="007229DE"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7229DE" w:rsidRPr="004054B5" w:rsidRDefault="007229DE"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7229DE" w:rsidRPr="004054B5" w:rsidRDefault="007229DE"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7229DE" w:rsidRPr="004054B5" w:rsidRDefault="007229DE"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7229DE" w:rsidRPr="004054B5" w:rsidRDefault="007229DE"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7229DE" w:rsidRDefault="007229DE"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7229DE" w:rsidRPr="00F26BB8" w:rsidRDefault="007229DE"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7229DE" w:rsidRPr="00F26BB8" w:rsidRDefault="007229DE"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7229DE" w:rsidRDefault="007229DE"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7229DE" w:rsidRDefault="007229DE"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7229DE" w:rsidRDefault="007229DE"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7229DE" w:rsidRDefault="007229DE"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7229DE" w:rsidRPr="004054B5" w:rsidRDefault="007229DE"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7229DE" w:rsidRPr="008D5991" w:rsidRDefault="007229DE"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7229DE" w:rsidRPr="008D5991" w:rsidRDefault="007229DE"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7229DE" w:rsidRPr="006B6FC2" w:rsidRDefault="007229DE"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7229DE" w:rsidRPr="006B6FC2" w:rsidRDefault="007229DE"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7229DE" w:rsidRPr="0079193E" w:rsidRDefault="007229DE"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7229DE" w:rsidRPr="004054B5" w:rsidRDefault="007229DE"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7229DE" w:rsidRPr="004054B5" w:rsidRDefault="007229DE"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7229DE" w:rsidRPr="004054B5" w:rsidRDefault="007229DE"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7229DE" w:rsidRPr="004054B5" w:rsidRDefault="007229DE"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7229DE" w:rsidRPr="004054B5" w:rsidRDefault="007229DE"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7229DE" w:rsidRPr="004054B5" w:rsidRDefault="007229DE"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7229DE" w:rsidRPr="004054B5" w:rsidRDefault="007229DE"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7229DE" w:rsidRDefault="007229DE"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2CE6"/>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59FB"/>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A761B"/>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D7FD7"/>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59C0"/>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85BA8"/>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6516"/>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1C31"/>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2CC9"/>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29DE"/>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3DA6-BA5C-4001-958B-F6C32D46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32406</Words>
  <Characters>194436</Characters>
  <Application>Microsoft Office Word</Application>
  <DocSecurity>0</DocSecurity>
  <Lines>1620</Lines>
  <Paragraphs>452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2019-09-09T11:02:00Z</cp:lastPrinted>
  <dcterms:created xsi:type="dcterms:W3CDTF">2019-09-26T05:11:00Z</dcterms:created>
  <dcterms:modified xsi:type="dcterms:W3CDTF">2019-09-26T05:11:00Z</dcterms:modified>
</cp:coreProperties>
</file>