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bookmarkStart w:id="0" w:name="_GoBack"/>
      <w:bookmarkEnd w:id="0"/>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A74211">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 xml:space="preserve">Rozporządzenie Parlamentu Europejskiego i Rady (UE) Nr 1301/2013 z dnia17 grudnia 2013 r. w sprawie Europejskiego Funduszu Rozwoju Regionalnego i </w:t>
      </w:r>
      <w:r w:rsidRPr="005E03AA">
        <w:rPr>
          <w:rFonts w:ascii="Arial Narrow" w:hAnsi="Arial Narrow"/>
          <w:sz w:val="20"/>
          <w:szCs w:val="20"/>
        </w:rPr>
        <w:lastRenderedPageBreak/>
        <w:t>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770E3F" w:rsidP="004054B5">
      <w:pPr>
        <w:numPr>
          <w:ilvl w:val="0"/>
          <w:numId w:val="10"/>
        </w:numPr>
        <w:jc w:val="both"/>
        <w:rPr>
          <w:rFonts w:ascii="Arial Narrow" w:hAnsi="Arial Narrow"/>
          <w:sz w:val="20"/>
          <w:szCs w:val="20"/>
        </w:rPr>
      </w:pPr>
      <w:r>
        <w:rPr>
          <w:rFonts w:ascii="Arial Narrow" w:hAnsi="Arial Narrow" w:cs="Arial"/>
          <w:sz w:val="20"/>
          <w:szCs w:val="20"/>
        </w:rPr>
        <w:t>Wytyczne Ministra Inwestycji i Rozwoju w zakresie monitorowania postępu rzeczowego realizacji programów operacyjnych na lata 2014-2020, z dnia 9.07.2018 r.</w:t>
      </w:r>
      <w:r w:rsidR="00420807" w:rsidRPr="00281D20">
        <w:rPr>
          <w:rFonts w:ascii="Arial Narrow" w:hAnsi="Arial Narrow" w:cs="Arial"/>
          <w:sz w:val="20"/>
          <w:szCs w:val="20"/>
        </w:rPr>
        <w:t>;</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w:t>
      </w:r>
      <w:r w:rsidR="000F6A2D">
        <w:rPr>
          <w:rFonts w:ascii="Arial Narrow" w:hAnsi="Arial Narrow" w:cs="Arial"/>
          <w:color w:val="000000"/>
          <w:sz w:val="20"/>
          <w:szCs w:val="20"/>
        </w:rPr>
        <w:t xml:space="preserve"> </w:t>
      </w:r>
      <w:r w:rsidRPr="00123C07">
        <w:rPr>
          <w:rFonts w:ascii="Arial Narrow" w:hAnsi="Arial Narrow" w:cs="Arial"/>
          <w:color w:val="000000"/>
          <w:sz w:val="20"/>
          <w:szCs w:val="20"/>
        </w:rPr>
        <w:t>Ministra Infrastruktury i Rozwoju w zakresie dofinansowania z programów operacyjnych podmiotów realizujących obowiązek świadczenia usług publicznych w transporcie zbiorowym</w:t>
      </w:r>
      <w:r w:rsidR="000F6A2D">
        <w:rPr>
          <w:rFonts w:ascii="Arial Narrow" w:hAnsi="Arial Narrow" w:cs="Arial"/>
          <w:color w:val="000000"/>
          <w:sz w:val="20"/>
          <w:szCs w:val="20"/>
        </w:rPr>
        <w:t xml:space="preserve"> </w:t>
      </w:r>
      <w:r w:rsidRPr="00123C07">
        <w:rPr>
          <w:rFonts w:ascii="Arial Narrow" w:hAnsi="Arial Narrow" w:cs="Arial"/>
          <w:color w:val="000000"/>
          <w:sz w:val="20"/>
          <w:szCs w:val="20"/>
        </w:rPr>
        <w:t>z dnia 19.10.2015 r</w:t>
      </w:r>
      <w:r w:rsidR="00420807" w:rsidRPr="005E03AA">
        <w:rPr>
          <w:rFonts w:ascii="Arial Narrow" w:hAnsi="Arial Narrow" w:cs="Arial"/>
          <w:color w:val="000000"/>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03668B" w:rsidRPr="00A02620" w:rsidRDefault="004B5BE2" w:rsidP="00FC3015">
      <w:pPr>
        <w:ind w:left="709"/>
        <w:jc w:val="both"/>
        <w:rPr>
          <w:rFonts w:ascii="Arial Narrow" w:hAnsi="Arial Narrow"/>
          <w:sz w:val="20"/>
          <w:szCs w:val="20"/>
        </w:rPr>
      </w:pPr>
      <w:r>
        <w:rPr>
          <w:rFonts w:ascii="Arial Narrow" w:hAnsi="Arial Narrow"/>
          <w:sz w:val="20"/>
          <w:szCs w:val="20"/>
        </w:rPr>
        <w:t>-</w:t>
      </w:r>
      <w:r w:rsidR="00D55AEE" w:rsidRPr="00D55AEE">
        <w:rPr>
          <w:rFonts w:ascii="Arial Narrow" w:hAnsi="Arial Narrow"/>
          <w:sz w:val="20"/>
          <w:szCs w:val="20"/>
        </w:rPr>
        <w:t xml:space="preserve">pomocy </w:t>
      </w:r>
      <w:r>
        <w:rPr>
          <w:rFonts w:ascii="Arial Narrow" w:hAnsi="Arial Narrow"/>
          <w:sz w:val="20"/>
          <w:szCs w:val="20"/>
        </w:rPr>
        <w:t>publicznej</w:t>
      </w:r>
      <w:r w:rsidR="00D55AEE" w:rsidRPr="00D55AEE">
        <w:rPr>
          <w:rFonts w:ascii="Arial Narrow" w:hAnsi="Arial Narrow"/>
          <w:sz w:val="20"/>
          <w:szCs w:val="20"/>
        </w:rPr>
        <w:t xml:space="preserve">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D55AEE" w:rsidP="00A26AF0">
      <w:pPr>
        <w:ind w:left="709"/>
        <w:jc w:val="both"/>
        <w:rPr>
          <w:rFonts w:ascii="Arial Narrow" w:hAnsi="Arial Narrow"/>
          <w:sz w:val="20"/>
          <w:szCs w:val="20"/>
        </w:rPr>
      </w:pPr>
      <w:r w:rsidRPr="00D55AEE">
        <w:rPr>
          <w:rFonts w:ascii="Arial Narrow" w:hAnsi="Arial Narrow"/>
          <w:sz w:val="20"/>
          <w:szCs w:val="20"/>
        </w:rPr>
        <w:t xml:space="preserve">Wsparcie będzie udzielane przy uwzględnieniu postanowień Wytycznych w zakresie dofinansowania z programów operacyjnych podmiotów realizujących obowiązek świadczenia usług publicznych w transporcie zbiorowym. </w:t>
      </w:r>
    </w:p>
    <w:p w:rsidR="00420807" w:rsidRPr="004B5BE2" w:rsidRDefault="00D55AEE" w:rsidP="004B5BE2">
      <w:pPr>
        <w:jc w:val="both"/>
        <w:rPr>
          <w:rFonts w:ascii="Arial Narrow" w:hAnsi="Arial Narrow"/>
          <w:sz w:val="20"/>
          <w:szCs w:val="20"/>
        </w:rPr>
      </w:pPr>
      <w:r w:rsidRPr="004B5BE2">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4B5BE2">
        <w:rPr>
          <w:rFonts w:ascii="Arial Narrow" w:hAnsi="Arial Narrow"/>
          <w:sz w:val="20"/>
          <w:szCs w:val="20"/>
        </w:rPr>
        <w:t>.</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E62FA4" w:rsidRDefault="00E62FA4" w:rsidP="00E62FA4">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0F6A2D">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2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37571" w:rsidRPr="005E03AA" w:rsidTr="00D37571">
        <w:trPr>
          <w:trHeight w:val="559"/>
        </w:trPr>
        <w:tc>
          <w:tcPr>
            <w:tcW w:w="9180" w:type="dxa"/>
            <w:gridSpan w:val="2"/>
            <w:shd w:val="clear" w:color="auto" w:fill="808080"/>
            <w:vAlign w:val="center"/>
          </w:tcPr>
          <w:p w:rsidR="00D37571" w:rsidRPr="005E03AA" w:rsidRDefault="00D37571" w:rsidP="00D37571">
            <w:pPr>
              <w:jc w:val="center"/>
              <w:rPr>
                <w:rFonts w:ascii="Arial Narrow" w:hAnsi="Arial Narrow"/>
                <w:sz w:val="20"/>
                <w:szCs w:val="20"/>
              </w:rPr>
            </w:pPr>
            <w:r w:rsidRPr="005E03AA">
              <w:rPr>
                <w:rFonts w:ascii="Arial Narrow" w:hAnsi="Arial Narrow"/>
                <w:b/>
                <w:sz w:val="20"/>
                <w:szCs w:val="20"/>
              </w:rPr>
              <w:t>I. STATUS WNIOSKU</w:t>
            </w:r>
          </w:p>
        </w:tc>
      </w:tr>
      <w:tr w:rsidR="00D37571" w:rsidRPr="005E03AA" w:rsidTr="00D37571">
        <w:trPr>
          <w:trHeight w:val="319"/>
        </w:trPr>
        <w:tc>
          <w:tcPr>
            <w:tcW w:w="2127" w:type="dxa"/>
            <w:shd w:val="clear" w:color="auto" w:fill="C0C0C0"/>
            <w:vAlign w:val="center"/>
          </w:tcPr>
          <w:p w:rsidR="00D37571" w:rsidRPr="005E03AA" w:rsidRDefault="00D37571" w:rsidP="00D3757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D37571" w:rsidRPr="005E03AA" w:rsidRDefault="00D37571" w:rsidP="00D37571">
            <w:pPr>
              <w:rPr>
                <w:rFonts w:ascii="Arial Narrow" w:hAnsi="Arial Narrow"/>
                <w:sz w:val="20"/>
                <w:szCs w:val="20"/>
              </w:rPr>
            </w:pPr>
          </w:p>
          <w:p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D37571" w:rsidRPr="005E03AA" w:rsidRDefault="00D37571" w:rsidP="00D37571">
            <w:pPr>
              <w:rPr>
                <w:rFonts w:ascii="Arial Narrow" w:hAnsi="Arial Narrow"/>
                <w:sz w:val="20"/>
                <w:szCs w:val="20"/>
              </w:rPr>
            </w:pPr>
          </w:p>
        </w:tc>
      </w:tr>
      <w:tr w:rsidR="00D37571" w:rsidRPr="005E03AA" w:rsidTr="00D37571">
        <w:trPr>
          <w:trHeight w:val="796"/>
        </w:trPr>
        <w:tc>
          <w:tcPr>
            <w:tcW w:w="2127" w:type="dxa"/>
            <w:shd w:val="clear" w:color="auto" w:fill="C0C0C0"/>
            <w:vAlign w:val="center"/>
          </w:tcPr>
          <w:p w:rsidR="00D37571" w:rsidRPr="005E03AA" w:rsidRDefault="00D37571" w:rsidP="00D3757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D37571" w:rsidRPr="005E03AA" w:rsidRDefault="00D37571" w:rsidP="00D37571">
            <w:pPr>
              <w:rPr>
                <w:rFonts w:ascii="Arial Narrow" w:hAnsi="Arial Narrow"/>
                <w:sz w:val="20"/>
                <w:szCs w:val="20"/>
              </w:rPr>
            </w:pPr>
          </w:p>
          <w:p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D37571" w:rsidRPr="005E03AA" w:rsidRDefault="00D37571" w:rsidP="00D37571">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7421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lastRenderedPageBreak/>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74211">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74211">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lastRenderedPageBreak/>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Wszystkie projekty realizowane w ramach RPO WŁ powinny dążyć do realizacji zasady równości mężczyzn i</w:t>
      </w:r>
      <w:r w:rsidR="00420807" w:rsidRPr="005E03AA">
        <w:rPr>
          <w:rFonts w:ascii="Arial Narrow" w:hAnsi="Arial Narrow"/>
          <w:sz w:val="20"/>
          <w:szCs w:val="20"/>
        </w:rPr>
        <w:t> </w:t>
      </w:r>
      <w:r w:rsidRPr="00A452FF">
        <w:rPr>
          <w:rFonts w:ascii="Arial Narrow" w:hAnsi="Arial Narrow"/>
          <w:sz w:val="20"/>
          <w:szCs w:val="20"/>
        </w:rPr>
        <w:t xml:space="preserve">kobiet oraz zapobiegać wszelkiej dyskryminacji na poszczególnych etapach wdrażania projektu zgodnie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r w:rsidRPr="00A452FF">
        <w:rPr>
          <w:rFonts w:ascii="Arial Narrow" w:hAnsi="Arial Narrow"/>
          <w:sz w:val="20"/>
          <w:szCs w:val="20"/>
        </w:rPr>
        <w:t xml:space="preserve">.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1A37B3" w:rsidRPr="005E03AA" w:rsidRDefault="00A452FF" w:rsidP="00A452FF">
      <w:pPr>
        <w:jc w:val="both"/>
        <w:rPr>
          <w:rFonts w:ascii="Arial Narrow" w:hAnsi="Arial Narrow"/>
          <w:sz w:val="20"/>
          <w:szCs w:val="20"/>
        </w:rPr>
      </w:pPr>
      <w:r w:rsidRPr="00A452FF">
        <w:rPr>
          <w:rFonts w:ascii="Arial Narrow" w:hAnsi="Arial Narrow"/>
          <w:sz w:val="20"/>
          <w:szCs w:val="20"/>
        </w:rPr>
        <w:lastRenderedPageBreak/>
        <w:t>Materiałem pomocniczym dla wykonania ww. uzasadnienia może być poradnik pn. „</w:t>
      </w:r>
      <w:r w:rsidRPr="00165EAA">
        <w:rPr>
          <w:rFonts w:ascii="Arial Narrow" w:hAnsi="Arial Narrow"/>
          <w:i/>
          <w:sz w:val="20"/>
        </w:rPr>
        <w:t>Jak realizować zasadę równości szans kobiet i mężczyzn w projektach finansowanych z Funduszy Europejskich 2014-2020. Poradnik dla osób realizujących projekty oraz instytucji systemu wdrażania</w:t>
      </w:r>
      <w:r w:rsidRPr="00A452FF">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A452FF" w:rsidRPr="00165EAA" w:rsidRDefault="00A452FF" w:rsidP="00A452FF">
      <w:pPr>
        <w:jc w:val="both"/>
        <w:rPr>
          <w:rFonts w:ascii="Arial Narrow" w:hAnsi="Arial Narrow"/>
          <w:i/>
          <w:sz w:val="20"/>
        </w:rPr>
      </w:pPr>
      <w:r w:rsidRPr="00A452FF">
        <w:rPr>
          <w:rFonts w:ascii="Arial Narrow" w:hAnsi="Arial Narrow"/>
          <w:sz w:val="20"/>
          <w:szCs w:val="20"/>
        </w:rPr>
        <w:t xml:space="preserve">Wszystkie projekty realizowane w ramach RPO WŁ muszą być zgodne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165EAA">
        <w:rPr>
          <w:rFonts w:ascii="Arial Narrow" w:hAnsi="Arial Narrow"/>
          <w:b/>
          <w:sz w:val="20"/>
        </w:rPr>
        <w:t xml:space="preserve"> pozytywny wpływ realizacji projektu na ww. politykę</w:t>
      </w:r>
      <w:r w:rsidRPr="00A452FF">
        <w:rPr>
          <w:rFonts w:ascii="Arial Narrow" w:hAnsi="Arial Narrow"/>
          <w:sz w:val="20"/>
          <w:szCs w:val="20"/>
        </w:rPr>
        <w:t xml:space="preserve">. Należy podać uzasadnienie swojego wyboru w przeznaczonej do tego rubryce.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Zgodnie z Wytycznymi, co do zasady, wszystkie </w:t>
      </w:r>
      <w:r w:rsidRPr="00165EAA">
        <w:rPr>
          <w:rFonts w:ascii="Arial Narrow" w:hAnsi="Arial Narrow"/>
          <w:b/>
          <w:sz w:val="20"/>
        </w:rPr>
        <w:t>nowe produkty</w:t>
      </w:r>
      <w:r w:rsidRPr="00A452FF">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165EAA">
        <w:rPr>
          <w:rFonts w:ascii="Arial Narrow" w:hAnsi="Arial Narrow"/>
          <w:b/>
          <w:sz w:val="20"/>
        </w:rPr>
        <w:t>produktu</w:t>
      </w:r>
      <w:r w:rsidRPr="00A452FF">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165EAA">
        <w:rPr>
          <w:rFonts w:ascii="Arial Narrow" w:hAnsi="Arial Narrow"/>
          <w:b/>
          <w:sz w:val="20"/>
        </w:rPr>
        <w:t xml:space="preserve">opis dostępności nowo tworzonej inwestycji, z uwzględnieniem różnych rodzajów niepełnosprawności użytkowników.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lastRenderedPageBreak/>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425D06" w:rsidRPr="00425D06" w:rsidRDefault="00425D06" w:rsidP="00425D06">
      <w:pPr>
        <w:jc w:val="both"/>
        <w:rPr>
          <w:rFonts w:ascii="Arial Narrow" w:hAnsi="Arial Narrow"/>
          <w:sz w:val="20"/>
          <w:szCs w:val="20"/>
        </w:rPr>
      </w:pPr>
      <w:r w:rsidRPr="00425D06">
        <w:rPr>
          <w:rFonts w:ascii="Arial Narrow" w:hAnsi="Arial Narrow"/>
          <w:sz w:val="20"/>
          <w:szCs w:val="20"/>
        </w:rPr>
        <w:t>W</w:t>
      </w:r>
      <w:r>
        <w:rPr>
          <w:rFonts w:ascii="Arial Narrow" w:hAnsi="Arial Narrow"/>
          <w:sz w:val="20"/>
          <w:szCs w:val="20"/>
        </w:rPr>
        <w:t xml:space="preserve"> przypadku projektów związanych z taborem i/lub dworcami, przystankami kolejowymi, we</w:t>
      </w:r>
      <w:r w:rsidRPr="00425D06">
        <w:rPr>
          <w:rFonts w:ascii="Arial Narrow" w:hAnsi="Arial Narrow"/>
          <w:sz w:val="20"/>
          <w:szCs w:val="20"/>
        </w:rPr>
        <w:t xml:space="preserve"> wniosku należy uwzględnić zapisy zgodne z właściwymi przepisami prawa unijnego i krajowego, w szczególności na podstawie:</w:t>
      </w:r>
    </w:p>
    <w:p w:rsidR="00425D06" w:rsidRPr="00425D06" w:rsidRDefault="00425D06" w:rsidP="00425D06">
      <w:pPr>
        <w:jc w:val="both"/>
        <w:rPr>
          <w:rFonts w:ascii="Arial Narrow" w:hAnsi="Arial Narrow"/>
          <w:sz w:val="20"/>
          <w:szCs w:val="20"/>
        </w:rPr>
      </w:pPr>
      <w:r w:rsidRPr="00425D06">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rsidR="00A452FF" w:rsidRPr="00A452FF" w:rsidRDefault="00425D06" w:rsidP="00425D06">
      <w:pPr>
        <w:jc w:val="both"/>
        <w:rPr>
          <w:rFonts w:ascii="Arial Narrow" w:hAnsi="Arial Narrow"/>
          <w:sz w:val="20"/>
          <w:szCs w:val="20"/>
        </w:rPr>
      </w:pPr>
      <w:r w:rsidRPr="00425D06">
        <w:rPr>
          <w:rFonts w:ascii="Arial Narrow" w:hAnsi="Arial Narrow"/>
          <w:sz w:val="20"/>
          <w:szCs w:val="20"/>
        </w:rPr>
        <w:t>- Ustawy z dnia 28 marca 2003 r. o transporcie kolejowym</w:t>
      </w:r>
      <w:r>
        <w:rPr>
          <w:rFonts w:ascii="Arial Narrow" w:hAnsi="Arial Narrow"/>
          <w:sz w:val="20"/>
          <w:szCs w:val="20"/>
        </w:rPr>
        <w:t>.</w:t>
      </w:r>
    </w:p>
    <w:p w:rsidR="00B34DCC"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opisu może być poradnik pn. „</w:t>
      </w:r>
      <w:r w:rsidRPr="00165EAA">
        <w:rPr>
          <w:rFonts w:ascii="Arial Narrow" w:hAnsi="Arial Narrow"/>
          <w:i/>
          <w:sz w:val="20"/>
        </w:rPr>
        <w:t>Realizacja zasady równości szans i niedyskryminacji, w tym dostępności dla osób z niepełnosprawnościami. Poradnik dla realizatorów projektów i instytucji systemu wdrażania funduszy europejskich 2014-2020</w:t>
      </w:r>
      <w:r w:rsidRPr="00A452FF">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A74211">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A74211">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w:t>
      </w:r>
      <w:r w:rsidRPr="005E03AA">
        <w:rPr>
          <w:rFonts w:ascii="Arial Narrow" w:hAnsi="Arial Narrow" w:cs="Tahoma"/>
          <w:sz w:val="20"/>
          <w:szCs w:val="20"/>
          <w:lang w:eastAsia="en-US"/>
        </w:rPr>
        <w:lastRenderedPageBreak/>
        <w:t xml:space="preserve">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sidR="00A74211">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74211">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w:t>
      </w:r>
      <w:r w:rsidR="00F04F1D" w:rsidRPr="00F04F1D">
        <w:rPr>
          <w:rFonts w:ascii="Arial Narrow" w:hAnsi="Arial Narrow" w:cs="Tahoma"/>
          <w:sz w:val="20"/>
          <w:szCs w:val="20"/>
          <w:lang w:eastAsia="en-US"/>
        </w:rPr>
        <w:lastRenderedPageBreak/>
        <w:t xml:space="preserve">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8F7586">
        <w:rPr>
          <w:rFonts w:ascii="Arial Narrow" w:hAnsi="Arial Narrow" w:cs="Tahoma"/>
          <w:sz w:val="20"/>
          <w:szCs w:val="20"/>
          <w:lang w:eastAsia="en-US"/>
        </w:rPr>
        <w:t xml:space="preserve"> </w:t>
      </w:r>
      <w:r w:rsidR="008F7586" w:rsidRPr="0090658D">
        <w:rPr>
          <w:rFonts w:ascii="Arial Narrow" w:hAnsi="Arial Narrow" w:cs="Tahoma"/>
          <w:sz w:val="20"/>
          <w:szCs w:val="20"/>
          <w:lang w:eastAsia="en-US"/>
        </w:rPr>
        <w:t>(stanowią one wtedy jedno zadanie o nazwie „Koszty pośrednie”)</w:t>
      </w:r>
      <w:r w:rsidR="008F7586" w:rsidRP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A74211">
        <w:rPr>
          <w:rFonts w:ascii="Arial Narrow" w:hAnsi="Arial Narrow"/>
          <w:sz w:val="20"/>
          <w:szCs w:val="20"/>
        </w:rPr>
        <w:t xml:space="preserve"> </w:t>
      </w:r>
      <w:r w:rsidR="00A1592C">
        <w:rPr>
          <w:rFonts w:ascii="Arial Narrow" w:hAnsi="Arial Narrow"/>
          <w:sz w:val="20"/>
          <w:szCs w:val="20"/>
        </w:rPr>
        <w:t>są rozliczane jako</w:t>
      </w:r>
      <w:r w:rsidR="00A7421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rsidR="0057448E" w:rsidRPr="0057448E" w:rsidRDefault="00420807" w:rsidP="0057448E">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rsidR="0057448E" w:rsidRPr="0057448E" w:rsidRDefault="000E1772" w:rsidP="0057448E">
      <w:pPr>
        <w:pStyle w:val="Akapitzlist"/>
        <w:numPr>
          <w:ilvl w:val="0"/>
          <w:numId w:val="9"/>
        </w:numPr>
        <w:jc w:val="both"/>
        <w:rPr>
          <w:rFonts w:ascii="Arial Narrow" w:hAnsi="Arial Narrow"/>
          <w:sz w:val="20"/>
          <w:szCs w:val="20"/>
        </w:rPr>
      </w:pPr>
      <w:r w:rsidRPr="0057448E">
        <w:rPr>
          <w:rFonts w:ascii="Arial Narrow" w:hAnsi="Arial Narrow" w:cs="Arial"/>
          <w:sz w:val="20"/>
          <w:szCs w:val="20"/>
        </w:rPr>
        <w:t>cross-financing</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A74211">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lastRenderedPageBreak/>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F00D9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F00D9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F00D9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w:t>
      </w:r>
      <w:r w:rsidRPr="005E03AA">
        <w:rPr>
          <w:rFonts w:ascii="Arial Narrow" w:hAnsi="Arial Narrow"/>
          <w:sz w:val="20"/>
          <w:szCs w:val="20"/>
        </w:rPr>
        <w:lastRenderedPageBreak/>
        <w:t>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w:t>
      </w:r>
      <w:r w:rsidRPr="005E03AA">
        <w:rPr>
          <w:rFonts w:ascii="Arial Narrow" w:hAnsi="Arial Narrow"/>
          <w:sz w:val="20"/>
          <w:szCs w:val="20"/>
        </w:rPr>
        <w:lastRenderedPageBreak/>
        <w:t xml:space="preserve">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w:t>
      </w:r>
      <w:r w:rsidR="00924382" w:rsidRPr="00924382">
        <w:rPr>
          <w:rFonts w:ascii="Arial Narrow" w:hAnsi="Arial Narrow"/>
          <w:sz w:val="20"/>
          <w:szCs w:val="20"/>
        </w:rPr>
        <w:t xml:space="preserve">– </w:t>
      </w:r>
      <w:r w:rsidR="00B956CC">
        <w:rPr>
          <w:rFonts w:ascii="Arial Narrow" w:hAnsi="Arial Narrow"/>
          <w:sz w:val="20"/>
          <w:szCs w:val="20"/>
        </w:rPr>
        <w:t>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8665B1">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8974C7">
        <w:rPr>
          <w:rFonts w:ascii="Arial Narrow" w:hAnsi="Arial Narrow"/>
          <w:sz w:val="20"/>
          <w:szCs w:val="20"/>
          <w:u w:val="single"/>
        </w:rPr>
        <w:t xml:space="preserve">lukę lub </w:t>
      </w:r>
      <w:r w:rsidR="00924382" w:rsidRPr="00924382">
        <w:rPr>
          <w:rFonts w:ascii="Arial Narrow" w:hAnsi="Arial Narrow"/>
          <w:sz w:val="20"/>
          <w:szCs w:val="20"/>
          <w:u w:val="single"/>
        </w:rPr>
        <w:t>metodę zryczałtowanych stawek procentowych</w:t>
      </w:r>
      <w:r w:rsidR="00BE4761">
        <w:rPr>
          <w:rFonts w:ascii="Arial Narrow" w:hAnsi="Arial Narrow"/>
          <w:sz w:val="20"/>
          <w:szCs w:val="20"/>
          <w:u w:val="single"/>
        </w:rPr>
        <w:t xml:space="preserve">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rsidR="00420807" w:rsidRPr="005E03AA" w:rsidRDefault="00EB2189" w:rsidP="00332214">
      <w:pPr>
        <w:jc w:val="both"/>
        <w:rPr>
          <w:rFonts w:ascii="Arial Narrow" w:hAnsi="Arial Narrow"/>
          <w:sz w:val="20"/>
          <w:szCs w:val="20"/>
        </w:rPr>
      </w:pPr>
      <w:r w:rsidRPr="00EB2189">
        <w:rPr>
          <w:rFonts w:ascii="Arial Narrow" w:hAnsi="Arial Narrow"/>
          <w:sz w:val="20"/>
          <w:szCs w:val="20"/>
        </w:rPr>
        <w:t>&lt;Wartość dochodu&gt; = &lt;Wydatki kwalifikowalne przed dochodem&gt; x &lt; Zryczałtowana stawka (%)&gt;/100</w:t>
      </w:r>
      <w:r w:rsidR="00420807"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8665B1">
        <w:rPr>
          <w:rFonts w:ascii="Arial Narrow" w:hAnsi="Arial Narrow"/>
          <w:sz w:val="20"/>
          <w:szCs w:val="20"/>
          <w:u w:val="single"/>
        </w:rPr>
        <w:t xml:space="preserve">, </w:t>
      </w:r>
      <w:r w:rsidR="008665B1" w:rsidRPr="008665B1">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8665B1" w:rsidRPr="005E03AA" w:rsidRDefault="008665B1" w:rsidP="008665B1">
      <w:pPr>
        <w:jc w:val="both"/>
        <w:rPr>
          <w:rFonts w:ascii="Arial Narrow" w:hAnsi="Arial Narrow"/>
          <w:b/>
          <w:sz w:val="20"/>
          <w:szCs w:val="20"/>
          <w:u w:val="single"/>
        </w:rPr>
      </w:pPr>
      <w:r w:rsidRPr="000B0BA7">
        <w:rPr>
          <w:rFonts w:ascii="Arial Narrow" w:hAnsi="Arial Narrow"/>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 finansowaniu</w:t>
      </w:r>
      <w:r>
        <w:rPr>
          <w:rFonts w:ascii="Arial Narrow" w:hAnsi="Arial Narrow"/>
          <w:sz w:val="20"/>
          <w:szCs w:val="20"/>
          <w:u w:val="single"/>
        </w:rPr>
        <w:t>/</w:t>
      </w:r>
      <w:r w:rsidRPr="008665B1">
        <w:rPr>
          <w:rFonts w:ascii="Arial Narrow" w:hAnsi="Arial Narrow"/>
          <w:sz w:val="20"/>
          <w:szCs w:val="20"/>
        </w:rPr>
        <w:t xml:space="preserve"> </w:t>
      </w:r>
      <w:r w:rsidRPr="008665B1">
        <w:rPr>
          <w:rFonts w:ascii="Arial Narrow" w:hAnsi="Arial Narrow"/>
          <w:sz w:val="20"/>
          <w:szCs w:val="20"/>
          <w:u w:val="single"/>
        </w:rPr>
        <w:t>zryczałtowanej stawki procentowej dochodów</w:t>
      </w:r>
      <w:r w:rsidRPr="000B0BA7">
        <w:rPr>
          <w:rFonts w:ascii="Arial Narrow" w:hAnsi="Arial Narrow"/>
          <w:sz w:val="20"/>
          <w:szCs w:val="20"/>
          <w:u w:val="single"/>
        </w:rPr>
        <w:t>.</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lastRenderedPageBreak/>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kwalifikowalności wydatku może dotyczyć projektów z </w:t>
      </w:r>
      <w:r w:rsidR="00291B6B" w:rsidRPr="00291B6B">
        <w:rPr>
          <w:rFonts w:ascii="Arial Narrow" w:hAnsi="Arial Narrow" w:cs="Arial"/>
          <w:sz w:val="20"/>
          <w:szCs w:val="20"/>
        </w:rPr>
        <w:lastRenderedPageBreak/>
        <w:t>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w:t>
      </w:r>
      <w:r w:rsidRPr="005E03AA">
        <w:rPr>
          <w:rFonts w:ascii="Arial Narrow" w:hAnsi="Arial Narrow" w:cs="Arial"/>
          <w:i/>
          <w:sz w:val="20"/>
          <w:szCs w:val="20"/>
        </w:rPr>
        <w:lastRenderedPageBreak/>
        <w:t>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74211">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A74211">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74211">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w:t>
      </w:r>
      <w:r w:rsidR="00A7421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74211">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74211">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AA73E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F00D96">
        <w:rPr>
          <w:rFonts w:ascii="Arial Narrow" w:hAnsi="Arial Narrow"/>
          <w:sz w:val="20"/>
          <w:szCs w:val="20"/>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lastRenderedPageBreak/>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t>
      </w:r>
      <w:r w:rsidRPr="005E03AA">
        <w:rPr>
          <w:rFonts w:ascii="Arial Narrow" w:hAnsi="Arial Narrow"/>
          <w:sz w:val="20"/>
          <w:szCs w:val="20"/>
        </w:rPr>
        <w:lastRenderedPageBreak/>
        <w:t xml:space="preserve">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lastRenderedPageBreak/>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896A6F">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896A6F">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896A6F">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E81D52">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896A6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896A6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9C4743" w:rsidP="00165EAA">
      <w:pPr>
        <w:shd w:val="clear" w:color="auto" w:fill="FFFFFF"/>
        <w:ind w:left="53"/>
        <w:jc w:val="both"/>
        <w:rPr>
          <w:rFonts w:ascii="Arial Narrow" w:hAnsi="Arial Narrow"/>
          <w:i/>
          <w:sz w:val="20"/>
          <w:szCs w:val="20"/>
        </w:rPr>
      </w:pPr>
      <w:r w:rsidRPr="00165EAA">
        <w:rPr>
          <w:rFonts w:ascii="Arial Narrow" w:hAnsi="Arial Narrow"/>
          <w:i/>
          <w:color w:val="000000"/>
          <w:spacing w:val="-7"/>
          <w:sz w:val="20"/>
          <w:vertAlign w:val="superscript"/>
        </w:rPr>
        <w:t>1</w:t>
      </w:r>
      <w:r w:rsidR="00420807" w:rsidRPr="005E03AA">
        <w:rPr>
          <w:rFonts w:ascii="Arial Narrow" w:hAnsi="Arial Narrow"/>
          <w:i/>
          <w:color w:val="000000"/>
          <w:spacing w:val="-6"/>
          <w:sz w:val="20"/>
          <w:szCs w:val="20"/>
        </w:rPr>
        <w:t>Należy wskazać właściciela nieruchomości.</w:t>
      </w:r>
    </w:p>
    <w:p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lastRenderedPageBreak/>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w:t>
      </w:r>
      <w:r w:rsidR="00603BBF">
        <w:rPr>
          <w:rFonts w:ascii="Arial Narrow" w:hAnsi="Arial Narrow"/>
          <w:sz w:val="20"/>
          <w:szCs w:val="20"/>
        </w:rPr>
        <w:t>8</w:t>
      </w:r>
      <w:r w:rsidR="000E2ADB" w:rsidRPr="000E2ADB">
        <w:rPr>
          <w:rFonts w:ascii="Arial Narrow" w:hAnsi="Arial Narrow"/>
          <w:sz w:val="20"/>
          <w:szCs w:val="20"/>
        </w:rPr>
        <w:t xml:space="preserve"> r., poz. 14</w:t>
      </w:r>
      <w:r w:rsidR="00603BBF">
        <w:rPr>
          <w:rFonts w:ascii="Arial Narrow" w:hAnsi="Arial Narrow"/>
          <w:sz w:val="20"/>
          <w:szCs w:val="20"/>
        </w:rPr>
        <w:t>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odbioru robót budowlanychoraz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lastRenderedPageBreak/>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645504" w:rsidP="00446013">
      <w:pPr>
        <w:jc w:val="both"/>
        <w:rPr>
          <w:rFonts w:ascii="Arial Narrow" w:hAnsi="Arial Narrow"/>
          <w:sz w:val="20"/>
          <w:szCs w:val="20"/>
        </w:rPr>
      </w:pPr>
      <w:r>
        <w:rPr>
          <w:rFonts w:ascii="Arial Narrow" w:hAnsi="Arial Narrow"/>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margin">
                  <wp:posOffset>-128905</wp:posOffset>
                </wp:positionH>
                <wp:positionV relativeFrom="paragraph">
                  <wp:posOffset>156845</wp:posOffset>
                </wp:positionV>
                <wp:extent cx="4957445" cy="2042160"/>
                <wp:effectExtent l="0" t="0" r="889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7445" cy="20421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7A1A" id="Prostokąt 5" o:spid="_x0000_s1026" style="position:absolute;margin-left:-10.15pt;margin-top:12.35pt;width:390.35pt;height:16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 xml:space="preserve">z </w:t>
      </w:r>
      <w:r w:rsidR="0070287A" w:rsidRPr="0049701D">
        <w:rPr>
          <w:rFonts w:ascii="Arial Narrow" w:hAnsi="Arial Narrow"/>
          <w:sz w:val="20"/>
          <w:szCs w:val="20"/>
        </w:rPr>
        <w:t>opini</w:t>
      </w:r>
      <w:r w:rsidR="0070287A">
        <w:rPr>
          <w:rFonts w:ascii="Arial Narrow" w:hAnsi="Arial Narrow"/>
          <w:sz w:val="20"/>
          <w:szCs w:val="20"/>
        </w:rPr>
        <w:t xml:space="preserve">ami </w:t>
      </w:r>
      <w:r w:rsidR="0070287A" w:rsidRPr="00C33F4F">
        <w:rPr>
          <w:rFonts w:ascii="Arial Narrow" w:hAnsi="Arial Narrow"/>
          <w:sz w:val="20"/>
          <w:szCs w:val="20"/>
        </w:rPr>
        <w:t>wydanymi przez właściwe organy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lastRenderedPageBreak/>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lastRenderedPageBreak/>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lastRenderedPageBreak/>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w:t>
      </w:r>
      <w:r w:rsidRPr="0049701D">
        <w:rPr>
          <w:rFonts w:ascii="Arial Narrow" w:hAnsi="Arial Narrow" w:cs="Arial"/>
          <w:sz w:val="20"/>
          <w:szCs w:val="20"/>
          <w:lang w:eastAsia="en-GB"/>
        </w:rPr>
        <w:lastRenderedPageBreak/>
        <w:t>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w:t>
            </w:r>
            <w:r w:rsidRPr="0049701D">
              <w:rPr>
                <w:rFonts w:ascii="Arial Narrow" w:hAnsi="Arial Narrow" w:cs="Arial"/>
                <w:sz w:val="20"/>
                <w:szCs w:val="20"/>
              </w:rPr>
              <w:lastRenderedPageBreak/>
              <w:t xml:space="preserve">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65EAA">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65EA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t>
            </w:r>
            <w:r w:rsidRPr="0049701D">
              <w:rPr>
                <w:rFonts w:ascii="Arial Narrow" w:hAnsi="Arial Narrow" w:cs="Arial"/>
                <w:i/>
                <w:iCs/>
                <w:sz w:val="20"/>
                <w:szCs w:val="20"/>
              </w:rPr>
              <w:lastRenderedPageBreak/>
              <w:t xml:space="preserve">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t>
            </w:r>
            <w:r w:rsidRPr="0049701D">
              <w:rPr>
                <w:rFonts w:ascii="Arial Narrow" w:hAnsi="Arial Narrow" w:cs="Arial"/>
                <w:sz w:val="20"/>
                <w:szCs w:val="20"/>
              </w:rPr>
              <w:lastRenderedPageBreak/>
              <w:t xml:space="preserve">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lastRenderedPageBreak/>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 xml:space="preserve">Jeżeli przedmiotowe koszty uwzględnia się w kosztach całkowitych, należy oszacować udział kosztów związanych z uruchomieniem rozwiązań na rzecz </w:t>
      </w:r>
      <w:r w:rsidRPr="0049701D">
        <w:rPr>
          <w:rFonts w:ascii="Arial Narrow" w:hAnsi="Arial Narrow" w:cs="Arial"/>
          <w:sz w:val="20"/>
          <w:szCs w:val="20"/>
          <w:lang w:eastAsia="en-GB"/>
        </w:rPr>
        <w:lastRenderedPageBreak/>
        <w:t>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7B71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w:t>
            </w:r>
            <w:r w:rsidRPr="0049701D">
              <w:rPr>
                <w:rFonts w:ascii="Arial Narrow" w:hAnsi="Arial Narrow" w:cs="Arial"/>
                <w:sz w:val="20"/>
                <w:szCs w:val="20"/>
              </w:rPr>
              <w:lastRenderedPageBreak/>
              <w:t xml:space="preserve">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65EAA">
        <w:trPr>
          <w:trHeight w:val="835"/>
        </w:trPr>
        <w:tc>
          <w:tcPr>
            <w:tcW w:w="9288" w:type="dxa"/>
            <w:shd w:val="clear" w:color="auto" w:fill="D9D9D9"/>
          </w:tcPr>
          <w:p w:rsidR="00446013" w:rsidRPr="009F3644" w:rsidRDefault="00446013" w:rsidP="00446013">
            <w:pPr>
              <w:autoSpaceDE w:val="0"/>
              <w:autoSpaceDN w:val="0"/>
              <w:adjustRightInd w:val="0"/>
              <w:jc w:val="both"/>
              <w:rPr>
                <w:rFonts w:ascii="Arial Narrow" w:hAnsi="Arial Narrow" w:cs="Arial"/>
                <w:color w:val="000000"/>
                <w:sz w:val="19"/>
                <w:szCs w:val="19"/>
              </w:rPr>
            </w:pPr>
            <w:r w:rsidRPr="009F3644">
              <w:rPr>
                <w:rFonts w:ascii="Arial Narrow" w:hAnsi="Arial Narrow" w:cs="Arial"/>
                <w:b/>
                <w:bCs/>
                <w:color w:val="000000"/>
                <w:sz w:val="19"/>
                <w:szCs w:val="19"/>
              </w:rPr>
              <w:t>Instrukcja</w:t>
            </w:r>
            <w:r w:rsidRPr="009F3644">
              <w:rPr>
                <w:rFonts w:ascii="Arial Narrow" w:hAnsi="Arial Narrow" w:cs="Arial"/>
                <w:color w:val="000000"/>
                <w:sz w:val="19"/>
                <w:szCs w:val="19"/>
              </w:rPr>
              <w:t xml:space="preserve">: </w:t>
            </w:r>
          </w:p>
          <w:p w:rsidR="00446013" w:rsidRPr="009F3644" w:rsidRDefault="00446013" w:rsidP="00446013">
            <w:pPr>
              <w:autoSpaceDE w:val="0"/>
              <w:autoSpaceDN w:val="0"/>
              <w:adjustRightInd w:val="0"/>
              <w:jc w:val="both"/>
              <w:rPr>
                <w:rFonts w:ascii="Arial Narrow" w:hAnsi="Arial Narrow" w:cs="Arial"/>
                <w:sz w:val="19"/>
                <w:szCs w:val="19"/>
              </w:rPr>
            </w:pPr>
            <w:r w:rsidRPr="009F3644">
              <w:rPr>
                <w:rFonts w:ascii="Arial Narrow" w:hAnsi="Arial Narrow" w:cs="Arial"/>
                <w:sz w:val="19"/>
                <w:szCs w:val="19"/>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9F3644" w:rsidRDefault="00446013" w:rsidP="00446013">
            <w:pPr>
              <w:pStyle w:val="Default"/>
              <w:jc w:val="both"/>
              <w:rPr>
                <w:rFonts w:ascii="Arial Narrow" w:hAnsi="Arial Narrow" w:cs="Arial"/>
                <w:sz w:val="19"/>
                <w:szCs w:val="19"/>
              </w:rPr>
            </w:pPr>
            <w:r w:rsidRPr="009F3644">
              <w:rPr>
                <w:rFonts w:ascii="Arial Narrow" w:hAnsi="Arial Narrow" w:cs="Arial"/>
                <w:sz w:val="19"/>
                <w:szCs w:val="19"/>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9F3644" w:rsidRDefault="00446013" w:rsidP="00446013">
            <w:pPr>
              <w:pStyle w:val="Default"/>
              <w:jc w:val="both"/>
              <w:rPr>
                <w:rFonts w:ascii="Arial Narrow" w:hAnsi="Arial Narrow" w:cs="Arial"/>
                <w:sz w:val="19"/>
                <w:szCs w:val="19"/>
              </w:rPr>
            </w:pPr>
            <w:r w:rsidRPr="009F3644">
              <w:rPr>
                <w:rFonts w:ascii="Arial Narrow" w:hAnsi="Arial Narrow" w:cs="Arial"/>
                <w:sz w:val="19"/>
                <w:szCs w:val="19"/>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9F3644" w:rsidRDefault="00446013" w:rsidP="00446013">
            <w:pPr>
              <w:pStyle w:val="Default"/>
              <w:jc w:val="both"/>
              <w:rPr>
                <w:rFonts w:ascii="Arial Narrow" w:hAnsi="Arial Narrow" w:cs="Arial"/>
                <w:sz w:val="19"/>
                <w:szCs w:val="19"/>
              </w:rPr>
            </w:pPr>
            <w:r w:rsidRPr="009F3644">
              <w:rPr>
                <w:rFonts w:ascii="Arial Narrow" w:hAnsi="Arial Narrow" w:cs="Arial"/>
                <w:sz w:val="19"/>
                <w:szCs w:val="19"/>
              </w:rPr>
              <w:t xml:space="preserve">Konieczne jest jasne wykazanie powiązania konkretnych działań ze zidentyfikowanym wcześniej ryzykiem oraz przedstawienie odporności projektu po ich zastosowaniu. </w:t>
            </w:r>
          </w:p>
          <w:p w:rsidR="00446013" w:rsidRPr="009F3644" w:rsidRDefault="00446013" w:rsidP="00446013">
            <w:pPr>
              <w:autoSpaceDE w:val="0"/>
              <w:autoSpaceDN w:val="0"/>
              <w:adjustRightInd w:val="0"/>
              <w:jc w:val="both"/>
              <w:rPr>
                <w:rFonts w:ascii="Arial Narrow" w:hAnsi="Arial Narrow"/>
                <w:sz w:val="19"/>
                <w:szCs w:val="19"/>
              </w:rPr>
            </w:pPr>
            <w:r w:rsidRPr="009F3644">
              <w:rPr>
                <w:rFonts w:ascii="Arial Narrow" w:hAnsi="Arial Narrow" w:cs="Arial"/>
                <w:sz w:val="19"/>
                <w:szCs w:val="19"/>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9F3644" w:rsidRDefault="00446013" w:rsidP="00446013">
            <w:pPr>
              <w:autoSpaceDE w:val="0"/>
              <w:autoSpaceDN w:val="0"/>
              <w:adjustRightInd w:val="0"/>
              <w:jc w:val="both"/>
              <w:rPr>
                <w:rFonts w:ascii="Arial Narrow" w:hAnsi="Arial Narrow" w:cs="Arial"/>
                <w:color w:val="000000"/>
                <w:sz w:val="19"/>
                <w:szCs w:val="19"/>
              </w:rPr>
            </w:pPr>
            <w:r w:rsidRPr="009F3644">
              <w:rPr>
                <w:rFonts w:ascii="Arial Narrow" w:hAnsi="Arial Narrow" w:cs="Arial"/>
                <w:sz w:val="19"/>
                <w:szCs w:val="19"/>
              </w:rPr>
              <w:t>Szersze wskazówki dotyczące tego punktu znajdują się w „</w:t>
            </w:r>
            <w:r w:rsidRPr="009F3644">
              <w:rPr>
                <w:rFonts w:ascii="Arial Narrow" w:hAnsi="Arial Narrow" w:cs="Arial"/>
                <w:i/>
                <w:sz w:val="19"/>
                <w:szCs w:val="19"/>
              </w:rPr>
              <w:t xml:space="preserve">Poradniku przygotowania inwestycji z uwzględnieniem zmian klimatu, ich łagodzenia i przystosowania do tych zmian oraz odporności na klęski żywiołowe” </w:t>
            </w:r>
            <w:r w:rsidRPr="009F3644">
              <w:rPr>
                <w:rFonts w:ascii="Arial Narrow" w:hAnsi="Arial Narrow" w:cs="Arial"/>
                <w:sz w:val="19"/>
                <w:szCs w:val="19"/>
              </w:rPr>
              <w:t>dostępnego na stronie portalu KLIMADA.</w:t>
            </w:r>
          </w:p>
        </w:tc>
      </w:tr>
    </w:tbl>
    <w:p w:rsidR="00446013" w:rsidRPr="009F3644" w:rsidRDefault="0094040E" w:rsidP="00446013">
      <w:pPr>
        <w:spacing w:after="120" w:line="276" w:lineRule="auto"/>
        <w:jc w:val="both"/>
        <w:rPr>
          <w:rFonts w:ascii="Arial Narrow" w:hAnsi="Arial Narrow" w:cs="Arial"/>
          <w:bCs/>
          <w:color w:val="000000"/>
          <w:sz w:val="18"/>
          <w:szCs w:val="18"/>
        </w:rPr>
      </w:pPr>
      <w:r w:rsidRPr="009F3644">
        <w:rPr>
          <w:rFonts w:ascii="Arial Narrow" w:hAnsi="Arial Narrow" w:cs="Arial"/>
          <w:b/>
          <w:bCs/>
          <w:color w:val="000000"/>
          <w:sz w:val="18"/>
          <w:szCs w:val="18"/>
        </w:rPr>
        <w:t>Jestem świadomy odpowiedzialności karnej za złożenie fałszywych oświadczeń.</w:t>
      </w:r>
    </w:p>
    <w:p w:rsidR="00446013" w:rsidRPr="0049701D" w:rsidRDefault="00446013" w:rsidP="00D01BD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lastRenderedPageBreak/>
        <w:tab/>
      </w:r>
    </w:p>
    <w:p w:rsidR="002D6645" w:rsidRPr="009F3644" w:rsidRDefault="00446013" w:rsidP="00D01BDE">
      <w:pPr>
        <w:ind w:left="5664"/>
        <w:jc w:val="both"/>
        <w:rPr>
          <w:rFonts w:ascii="Arial Narrow" w:hAnsi="Arial Narrow" w:cs="Arial"/>
          <w:b/>
          <w:sz w:val="18"/>
          <w:szCs w:val="18"/>
        </w:rPr>
      </w:pPr>
      <w:r w:rsidRPr="009F3644">
        <w:rPr>
          <w:rFonts w:ascii="Arial Narrow" w:hAnsi="Arial Narrow" w:cs="Arial"/>
          <w:bCs/>
          <w:color w:val="000000"/>
          <w:sz w:val="18"/>
          <w:szCs w:val="18"/>
        </w:rPr>
        <w:t>(podpis osoby upoważnionej do składania oświadczeń woli w imieniu Wnioskodawcy)</w:t>
      </w: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 xml:space="preserve">2) Czy, w przypadku spółki jawnej, spółki komandytowej, spółki partnerskiej oraz spółki cywilnej, wysokość niepokrytych strat przewyższa 50 % wysokości jej kapitału według </w:t>
      </w:r>
      <w:r w:rsidRPr="005E03AA">
        <w:rPr>
          <w:rFonts w:ascii="Arial Narrow" w:hAnsi="Arial Narrow"/>
          <w:bCs/>
          <w:sz w:val="20"/>
          <w:szCs w:val="20"/>
        </w:rPr>
        <w:lastRenderedPageBreak/>
        <w:t>ksiąg spółki (nie dotyczy przedsiębiorców mikro, małych lub średnich</w:t>
      </w:r>
      <w:r w:rsidR="00593B7E">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lastRenderedPageBreak/>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1C28B7">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lastRenderedPageBreak/>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lastRenderedPageBreak/>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w:t>
      </w:r>
      <w:r w:rsidRPr="005E03AA">
        <w:rPr>
          <w:rFonts w:ascii="Arial Narrow" w:hAnsi="Arial Narrow"/>
          <w:b/>
          <w:sz w:val="20"/>
          <w:szCs w:val="20"/>
          <w:lang w:eastAsia="en-US"/>
        </w:rPr>
        <w:lastRenderedPageBreak/>
        <w:t>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1C28B7">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62"/>
      </w:tblGrid>
      <w:tr w:rsidR="00420807" w:rsidRPr="005E03AA" w:rsidTr="001C28B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 xml:space="preserve">Istnienie konkurencji można wykluczyć, w sytuacji, gdy działalność gospodarcza prowadzona jest na rynku zamkniętym na konkurencję z mocy przepisów prawa (tzw. monopol prawny), ale pod warunkiem, że wykluczona jest nie tylko konkurencja na </w:t>
      </w:r>
      <w:r w:rsidRPr="005E03AA">
        <w:rPr>
          <w:rFonts w:ascii="Arial Narrow" w:hAnsi="Arial Narrow"/>
          <w:color w:val="000000"/>
          <w:sz w:val="20"/>
          <w:szCs w:val="20"/>
        </w:rPr>
        <w:lastRenderedPageBreak/>
        <w:t>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1C28B7">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1C28B7" w:rsidRDefault="001C28B7" w:rsidP="00E73A41">
      <w:pPr>
        <w:spacing w:line="276" w:lineRule="auto"/>
        <w:ind w:left="360"/>
        <w:jc w:val="both"/>
        <w:rPr>
          <w:rFonts w:ascii="Arial Narrow" w:hAnsi="Arial Narrow"/>
          <w:b/>
          <w:sz w:val="20"/>
          <w:szCs w:val="20"/>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1C28B7">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1C28B7">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001C28B7">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001C28B7">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lastRenderedPageBreak/>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 xml:space="preserve">(w przypadku uzyskania pomocy na podstawie aktu normatywnego, który uzależnia nabycie prawa do otrzymania pomocy wyłącznie od spełnienia przesłanek określonych w tym </w:t>
            </w:r>
            <w:r w:rsidRPr="005E03AA">
              <w:rPr>
                <w:rFonts w:ascii="Arial Narrow" w:hAnsi="Arial Narrow"/>
                <w:b/>
                <w:i/>
                <w:sz w:val="20"/>
                <w:szCs w:val="20"/>
              </w:rPr>
              <w:lastRenderedPageBreak/>
              <w:t>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lastRenderedPageBreak/>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8523AE">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523AE">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1C28B7">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w:t>
      </w:r>
      <w:r w:rsidR="00D74981">
        <w:rPr>
          <w:rFonts w:ascii="Arial Narrow" w:hAnsi="Arial Narrow"/>
          <w:sz w:val="20"/>
          <w:szCs w:val="20"/>
          <w:u w:val="single"/>
          <w:lang w:eastAsia="en-US"/>
        </w:rPr>
        <w:t xml:space="preserve"> 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1C28B7">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za pośrednictwem swej spółki komunalnej albo spółka komunalna, która świadczy usługi na rzecz macierzystej JST, należy dołączyć umowę o świad</w:t>
      </w:r>
      <w:r w:rsidRPr="005E03AA">
        <w:rPr>
          <w:rFonts w:ascii="Arial Narrow" w:hAnsi="Arial Narrow"/>
          <w:sz w:val="20"/>
          <w:szCs w:val="20"/>
          <w:lang w:eastAsia="en-US"/>
        </w:rPr>
        <w:lastRenderedPageBreak/>
        <w:t xml:space="preserve">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6C6DA8"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FF474A">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lastRenderedPageBreak/>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637C86">
            <w:pP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637C86">
            <w:pP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2D527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70559A" w:rsidP="002D527E">
      <w:pPr>
        <w:spacing w:before="120"/>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p>
    <w:p w:rsidR="00420807" w:rsidRPr="005E03AA" w:rsidRDefault="00420807" w:rsidP="002D527E">
      <w:pPr>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1C28B7">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rsidR="00420807" w:rsidRPr="005E03AA" w:rsidRDefault="00420807" w:rsidP="002D527E">
      <w:pPr>
        <w:jc w:val="both"/>
        <w:rPr>
          <w:rFonts w:ascii="Arial Narrow" w:hAnsi="Arial Narrow"/>
          <w:sz w:val="20"/>
          <w:szCs w:val="20"/>
        </w:rPr>
      </w:pPr>
    </w:p>
    <w:p w:rsidR="00420807" w:rsidRPr="005E03AA" w:rsidRDefault="00420807" w:rsidP="002D527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B9143D" w:rsidRPr="00B9143D" w:rsidRDefault="00420807" w:rsidP="002D527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rsidR="00B9143D" w:rsidRPr="00B9143D" w:rsidRDefault="00B9143D" w:rsidP="002D527E">
      <w:pPr>
        <w:spacing w:before="60" w:after="60"/>
        <w:jc w:val="both"/>
        <w:rPr>
          <w:rFonts w:ascii="Arial Narrow" w:hAnsi="Arial Narrow" w:cs="Arial"/>
          <w:sz w:val="20"/>
          <w:szCs w:val="20"/>
        </w:rPr>
      </w:pPr>
      <w:r w:rsidRPr="00B9143D">
        <w:rPr>
          <w:rFonts w:ascii="Arial Narrow" w:hAnsi="Arial Narrow" w:cs="Arial"/>
          <w:sz w:val="20"/>
          <w:szCs w:val="20"/>
        </w:rPr>
        <w:t xml:space="preserve">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rsidTr="007B7119">
        <w:trPr>
          <w:trHeight w:val="4913"/>
        </w:trPr>
        <w:tc>
          <w:tcPr>
            <w:tcW w:w="9060" w:type="dxa"/>
          </w:tcPr>
          <w:p w:rsidR="00B9143D" w:rsidRPr="00B9143D" w:rsidRDefault="00B9143D" w:rsidP="00165EAA">
            <w:pPr>
              <w:rPr>
                <w:rFonts w:ascii="Arial Narrow" w:hAnsi="Arial Narrow" w:cs="Arial"/>
                <w:sz w:val="20"/>
                <w:szCs w:val="20"/>
              </w:rPr>
            </w:pPr>
            <w:r w:rsidRPr="00B9143D">
              <w:rPr>
                <w:rFonts w:ascii="Arial Narrow" w:hAnsi="Arial Narrow" w:cs="Arial"/>
                <w:sz w:val="20"/>
                <w:szCs w:val="20"/>
              </w:rPr>
              <w:lastRenderedPageBreak/>
              <w:t>Nazwa i adres Wnioskodawcy</w:t>
            </w:r>
            <w:r w:rsidR="001C28B7">
              <w:rPr>
                <w:rFonts w:ascii="Arial Narrow" w:hAnsi="Arial Narrow" w:cs="Arial"/>
                <w:sz w:val="20"/>
                <w:szCs w:val="20"/>
              </w:rPr>
              <w:t xml:space="preserve">                                                                                                       </w:t>
            </w:r>
            <w:r w:rsidRPr="00B9143D">
              <w:rPr>
                <w:rFonts w:ascii="Arial Narrow" w:hAnsi="Arial Narrow" w:cs="Arial"/>
                <w:sz w:val="20"/>
                <w:szCs w:val="20"/>
              </w:rPr>
              <w:t>Miejscowość, data</w:t>
            </w:r>
          </w:p>
          <w:p w:rsidR="00B9143D" w:rsidRPr="00B9143D" w:rsidRDefault="00B9143D" w:rsidP="00165EAA">
            <w:pPr>
              <w:rPr>
                <w:rFonts w:ascii="Arial Narrow" w:hAnsi="Arial Narrow" w:cs="Arial"/>
                <w:sz w:val="20"/>
                <w:szCs w:val="20"/>
              </w:rPr>
            </w:pPr>
          </w:p>
          <w:p w:rsidR="00B9143D" w:rsidRPr="00B9143D" w:rsidRDefault="00B9143D" w:rsidP="00165EAA">
            <w:pPr>
              <w:jc w:val="center"/>
              <w:rPr>
                <w:rFonts w:ascii="Arial Narrow" w:hAnsi="Arial Narrow" w:cs="Arial"/>
                <w:sz w:val="20"/>
                <w:szCs w:val="20"/>
              </w:rPr>
            </w:pPr>
            <w:r w:rsidRPr="00B9143D">
              <w:rPr>
                <w:rFonts w:ascii="Arial Narrow" w:hAnsi="Arial Narrow" w:cs="Arial"/>
                <w:sz w:val="20"/>
                <w:szCs w:val="20"/>
              </w:rPr>
              <w:t>OŚWIADCZENIE</w:t>
            </w:r>
          </w:p>
          <w:p w:rsidR="00B9143D" w:rsidRPr="00B9143D" w:rsidRDefault="00B9143D" w:rsidP="00165EAA">
            <w:pPr>
              <w:rPr>
                <w:rFonts w:ascii="Arial Narrow" w:hAnsi="Arial Narrow" w:cs="Arial"/>
                <w:sz w:val="20"/>
                <w:szCs w:val="20"/>
              </w:rPr>
            </w:pP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 ……………………………………………………………………………………………………………………………….</w:t>
            </w: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rewitalizacyjnych(wybrać właściwe)</w:t>
            </w:r>
            <w:r w:rsidRPr="00B9143D">
              <w:rPr>
                <w:rFonts w:ascii="Arial Narrow" w:hAnsi="Arial Narrow" w:cs="Arial"/>
                <w:sz w:val="20"/>
                <w:szCs w:val="20"/>
              </w:rPr>
              <w:t>.</w:t>
            </w:r>
          </w:p>
          <w:p w:rsidR="00B9143D" w:rsidRPr="00B9143D" w:rsidRDefault="00B9143D" w:rsidP="00165EAA">
            <w:pPr>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Projekt zlokalizowany jest w całości lub części poza obszarem rewitalizacji, ale służy realizacji celów programu. co ma następujące uzasadnienie: ………………………..(wybrać właściwą odpowiedź)</w:t>
            </w:r>
            <w:r w:rsidRPr="00B9143D">
              <w:rPr>
                <w:rFonts w:ascii="Arial Narrow" w:hAnsi="Arial Narrow" w:cs="Arial"/>
                <w:sz w:val="20"/>
                <w:szCs w:val="20"/>
              </w:rPr>
              <w:t>.</w:t>
            </w:r>
          </w:p>
          <w:p w:rsidR="00B9143D" w:rsidRPr="00B9143D" w:rsidRDefault="00B9143D" w:rsidP="00165EAA">
            <w:pPr>
              <w:jc w:val="both"/>
              <w:rPr>
                <w:rFonts w:ascii="Arial Narrow" w:hAnsi="Arial Narrow" w:cs="Arial"/>
                <w:sz w:val="20"/>
                <w:szCs w:val="20"/>
              </w:rPr>
            </w:pPr>
          </w:p>
          <w:p w:rsidR="00B9143D" w:rsidRPr="00B9143D" w:rsidRDefault="00B9143D" w:rsidP="00165EAA">
            <w:pPr>
              <w:rPr>
                <w:rFonts w:ascii="Arial Narrow" w:hAnsi="Arial Narrow" w:cs="Arial"/>
                <w:sz w:val="20"/>
                <w:szCs w:val="20"/>
              </w:rPr>
            </w:pPr>
          </w:p>
          <w:p w:rsidR="00B9143D" w:rsidRPr="00B9143D" w:rsidRDefault="00B9143D" w:rsidP="00165EAA">
            <w:pPr>
              <w:ind w:left="5760" w:hanging="5760"/>
              <w:jc w:val="center"/>
              <w:rPr>
                <w:rFonts w:ascii="Arial Narrow" w:hAnsi="Arial Narrow" w:cs="Arial"/>
                <w:sz w:val="20"/>
                <w:szCs w:val="20"/>
              </w:rPr>
            </w:pPr>
            <w:r w:rsidRPr="00165EAA">
              <w:rPr>
                <w:rFonts w:ascii="Arial Narrow" w:hAnsi="Arial Narrow"/>
                <w:b/>
                <w:color w:val="000000"/>
                <w:w w:val="106"/>
                <w:sz w:val="20"/>
              </w:rPr>
              <w:t>Jestem świadomy odpowiedzialności karnej za złożenie fałszywych oświadczeń.</w:t>
            </w:r>
          </w:p>
          <w:p w:rsidR="00B9143D" w:rsidRPr="00B9143D" w:rsidRDefault="00B9143D" w:rsidP="00165EAA">
            <w:pPr>
              <w:ind w:left="5760"/>
              <w:jc w:val="center"/>
              <w:rPr>
                <w:rFonts w:ascii="Arial Narrow" w:hAnsi="Arial Narrow" w:cs="Arial"/>
                <w:sz w:val="20"/>
                <w:szCs w:val="20"/>
              </w:rPr>
            </w:pPr>
          </w:p>
          <w:p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w:t>
            </w:r>
          </w:p>
          <w:p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(podpis i pieczątka)</w:t>
            </w:r>
          </w:p>
          <w:p w:rsidR="00B9143D" w:rsidRPr="00B9143D" w:rsidRDefault="00B9143D" w:rsidP="00165EAA">
            <w:pPr>
              <w:rPr>
                <w:rFonts w:ascii="Arial Narrow" w:hAnsi="Arial Narrow" w:cs="Arial"/>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2D527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w:t>
      </w:r>
      <w:r w:rsidR="0054544D">
        <w:rPr>
          <w:rFonts w:ascii="Arial Narrow" w:hAnsi="Arial Narrow"/>
          <w:sz w:val="20"/>
          <w:szCs w:val="20"/>
        </w:rPr>
        <w:t>8</w:t>
      </w:r>
      <w:r w:rsidR="000E2ADB" w:rsidRPr="000E2ADB">
        <w:rPr>
          <w:rFonts w:ascii="Arial Narrow" w:hAnsi="Arial Narrow"/>
          <w:sz w:val="20"/>
          <w:szCs w:val="20"/>
        </w:rPr>
        <w:t xml:space="preserve"> r., poz. 14</w:t>
      </w:r>
      <w:r w:rsidR="0054544D">
        <w:rPr>
          <w:rFonts w:ascii="Arial Narrow" w:hAnsi="Arial Narrow"/>
          <w:sz w:val="20"/>
          <w:szCs w:val="20"/>
        </w:rPr>
        <w:t>74</w:t>
      </w:r>
      <w:r w:rsidR="00CF1900">
        <w:rPr>
          <w:rFonts w:ascii="Arial Narrow" w:hAnsi="Arial Narrow"/>
          <w:sz w:val="20"/>
          <w:szCs w:val="20"/>
        </w:rPr>
        <w:t xml:space="preserve"> </w:t>
      </w:r>
      <w:r w:rsidRPr="005E03AA">
        <w:rPr>
          <w:rFonts w:ascii="Arial Narrow" w:hAnsi="Arial Narrow"/>
          <w:sz w:val="20"/>
          <w:szCs w:val="20"/>
        </w:rPr>
        <w:t>).</w:t>
      </w:r>
    </w:p>
    <w:p w:rsidR="00420807" w:rsidRPr="005E03AA" w:rsidRDefault="00420807" w:rsidP="002D527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2D527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6786D">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8A" w:rsidRDefault="00CF668A">
      <w:r>
        <w:separator/>
      </w:r>
    </w:p>
  </w:endnote>
  <w:endnote w:type="continuationSeparator" w:id="0">
    <w:p w:rsidR="00CF668A" w:rsidRDefault="00CF668A">
      <w:r>
        <w:continuationSeparator/>
      </w:r>
    </w:p>
  </w:endnote>
  <w:endnote w:type="continuationNotice" w:id="1">
    <w:p w:rsidR="00CF668A" w:rsidRDefault="00CF6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3D" w:rsidRPr="00165EAA" w:rsidRDefault="001B6463" w:rsidP="00165EAA">
    <w:pPr>
      <w:pStyle w:val="Stopka"/>
      <w:jc w:val="right"/>
    </w:pPr>
    <w:r>
      <w:fldChar w:fldCharType="begin"/>
    </w:r>
    <w:r w:rsidR="00D4493D">
      <w:instrText>PAGE   \* MERGEFORMAT</w:instrText>
    </w:r>
    <w:r>
      <w:fldChar w:fldCharType="separate"/>
    </w:r>
    <w:r w:rsidR="00645504">
      <w:rPr>
        <w:noProof/>
      </w:rPr>
      <w:t>1</w:t>
    </w:r>
    <w:r>
      <w:rPr>
        <w:noProof/>
      </w:rPr>
      <w:fldChar w:fldCharType="end"/>
    </w:r>
  </w:p>
  <w:p w:rsidR="00D4493D" w:rsidRPr="00165EAA" w:rsidRDefault="00D4493D" w:rsidP="00165EA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8A" w:rsidRDefault="00CF668A">
      <w:r>
        <w:separator/>
      </w:r>
    </w:p>
  </w:footnote>
  <w:footnote w:type="continuationSeparator" w:id="0">
    <w:p w:rsidR="00CF668A" w:rsidRDefault="00CF668A">
      <w:r>
        <w:continuationSeparator/>
      </w:r>
    </w:p>
  </w:footnote>
  <w:footnote w:type="continuationNotice" w:id="1">
    <w:p w:rsidR="00CF668A" w:rsidRDefault="00CF668A"/>
  </w:footnote>
  <w:footnote w:id="2">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D4493D" w:rsidRPr="006B6FC2" w:rsidRDefault="00D4493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D4493D" w:rsidRPr="006B6FC2" w:rsidRDefault="00D4493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D4493D" w:rsidRPr="006B6FC2" w:rsidRDefault="00D4493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D4493D" w:rsidRPr="006B6FC2" w:rsidRDefault="00D4493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D4493D" w:rsidRDefault="00D4493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D4493D" w:rsidRPr="006B6FC2" w:rsidRDefault="00D4493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D4493D" w:rsidRDefault="00CF668A" w:rsidP="00446013">
      <w:pPr>
        <w:pStyle w:val="Tekstprzypisudolnego"/>
        <w:jc w:val="both"/>
      </w:pPr>
      <w:hyperlink r:id="rId2" w:history="1">
        <w:r w:rsidR="00D4493D" w:rsidRPr="006B6FC2">
          <w:rPr>
            <w:rStyle w:val="Hipercze"/>
            <w:rFonts w:ascii="Arial Narrow" w:hAnsi="Arial Narrow" w:cs="Arial"/>
            <w:sz w:val="18"/>
            <w:szCs w:val="18"/>
          </w:rPr>
          <w:t>http://ec.europa.eu/clima/policies/adaptation/what/docs/non_paper_guidelines_project_managers_en.pdf</w:t>
        </w:r>
      </w:hyperlink>
      <w:r w:rsidR="00D4493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493D" w:rsidRPr="006B6FC2">
          <w:rPr>
            <w:rStyle w:val="Hipercze"/>
            <w:rFonts w:ascii="Arial Narrow" w:hAnsi="Arial Narrow" w:cs="Arial"/>
            <w:sz w:val="18"/>
            <w:szCs w:val="18"/>
          </w:rPr>
          <w:t>http://ec.europa.eu/environment/eia/home.htm</w:t>
        </w:r>
      </w:hyperlink>
    </w:p>
  </w:footnote>
  <w:footnote w:id="22">
    <w:p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D4493D" w:rsidRDefault="00D4493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9F3644">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D4493D" w:rsidRDefault="00D4493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6739DC">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D4493D" w:rsidRDefault="00D4493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D4493D" w:rsidRDefault="00D4493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D4493D" w:rsidRDefault="00D4493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D4493D" w:rsidRDefault="00D4493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D4493D" w:rsidRDefault="00D4493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D4493D" w:rsidRPr="008D5991" w:rsidRDefault="00D4493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D4493D" w:rsidRDefault="00D4493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D4493D" w:rsidRDefault="00D4493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D4493D" w:rsidRDefault="00D4493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D4493D" w:rsidRDefault="00D4493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D4493D" w:rsidRPr="004054B5" w:rsidRDefault="00D4493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4493D" w:rsidRDefault="00D4493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D4493D" w:rsidRPr="004054B5" w:rsidRDefault="00D4493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rsidR="00D4493D" w:rsidRDefault="00D4493D"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37"/>
  </w:num>
  <w:num w:numId="45">
    <w:abstractNumId w:val="21"/>
  </w:num>
  <w:num w:numId="46">
    <w:abstractNumId w:val="2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A2D"/>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6463"/>
    <w:rsid w:val="001B7300"/>
    <w:rsid w:val="001C2710"/>
    <w:rsid w:val="001C28B7"/>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56256"/>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6A10"/>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24FF"/>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44D"/>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3B7E"/>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BBF"/>
    <w:rsid w:val="00603C85"/>
    <w:rsid w:val="006049CC"/>
    <w:rsid w:val="0060517E"/>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37C86"/>
    <w:rsid w:val="00640841"/>
    <w:rsid w:val="00641DE9"/>
    <w:rsid w:val="00642EE4"/>
    <w:rsid w:val="00642FC8"/>
    <w:rsid w:val="00643B0B"/>
    <w:rsid w:val="00645504"/>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39D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287A"/>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098"/>
    <w:rsid w:val="0076125C"/>
    <w:rsid w:val="00762108"/>
    <w:rsid w:val="007624BC"/>
    <w:rsid w:val="00762AF6"/>
    <w:rsid w:val="00763F25"/>
    <w:rsid w:val="00764470"/>
    <w:rsid w:val="00764673"/>
    <w:rsid w:val="00766847"/>
    <w:rsid w:val="00766B93"/>
    <w:rsid w:val="00766D57"/>
    <w:rsid w:val="0077093B"/>
    <w:rsid w:val="00770D56"/>
    <w:rsid w:val="00770E3F"/>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AE"/>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65B1"/>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6A6F"/>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586"/>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3644"/>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4211"/>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49C9"/>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68A"/>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2FA4"/>
    <w:rsid w:val="00E63E68"/>
    <w:rsid w:val="00E679E1"/>
    <w:rsid w:val="00E70A36"/>
    <w:rsid w:val="00E72F9F"/>
    <w:rsid w:val="00E73A41"/>
    <w:rsid w:val="00E77D61"/>
    <w:rsid w:val="00E81D52"/>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271"/>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0D96"/>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1181"/>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F20C39-653A-4F60-9C95-81A9038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6C7B-128D-479E-A26B-2DD80F70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31303</Words>
  <Characters>187823</Characters>
  <Application>Microsoft Office Word</Application>
  <DocSecurity>0</DocSecurity>
  <Lines>1565</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2017-01-09T12:30:00Z</cp:lastPrinted>
  <dcterms:created xsi:type="dcterms:W3CDTF">2018-11-19T07:10:00Z</dcterms:created>
  <dcterms:modified xsi:type="dcterms:W3CDTF">2018-11-19T07:10:00Z</dcterms:modified>
</cp:coreProperties>
</file>