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33" w:rsidRPr="00BC3137" w:rsidRDefault="00014833" w:rsidP="00014833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014833" w:rsidRDefault="00014833" w:rsidP="00014833">
      <w:pPr>
        <w:jc w:val="center"/>
        <w:rPr>
          <w:b/>
          <w:sz w:val="20"/>
        </w:rPr>
      </w:pPr>
    </w:p>
    <w:p w:rsidR="00014833" w:rsidRPr="00851F8F" w:rsidRDefault="00014833" w:rsidP="00014833">
      <w:pPr>
        <w:jc w:val="center"/>
        <w:rPr>
          <w:b/>
          <w:sz w:val="20"/>
        </w:rPr>
      </w:pPr>
    </w:p>
    <w:p w:rsidR="00014833" w:rsidRPr="00BC3137" w:rsidRDefault="00014833" w:rsidP="00014833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014833" w:rsidRDefault="00014833" w:rsidP="00014833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</w:t>
      </w:r>
      <w:r>
        <w:rPr>
          <w:b/>
          <w:sz w:val="38"/>
        </w:rPr>
        <w:t>najmu</w:t>
      </w:r>
      <w:r w:rsidR="00C40C7D">
        <w:rPr>
          <w:b/>
          <w:sz w:val="38"/>
        </w:rPr>
        <w:t xml:space="preserve"> i dzierżawy</w:t>
      </w:r>
    </w:p>
    <w:p w:rsidR="00014833" w:rsidRDefault="00014833" w:rsidP="00014833">
      <w:pPr>
        <w:jc w:val="center"/>
        <w:rPr>
          <w:b/>
          <w:sz w:val="20"/>
        </w:rPr>
      </w:pPr>
    </w:p>
    <w:p w:rsidR="00014833" w:rsidRDefault="00014833" w:rsidP="00014833">
      <w:pPr>
        <w:jc w:val="center"/>
        <w:rPr>
          <w:b/>
          <w:sz w:val="20"/>
        </w:rPr>
      </w:pPr>
    </w:p>
    <w:p w:rsidR="00014833" w:rsidRPr="008A24BB" w:rsidRDefault="00014833" w:rsidP="00014833">
      <w:pPr>
        <w:rPr>
          <w:sz w:val="14"/>
        </w:rPr>
      </w:pPr>
    </w:p>
    <w:tbl>
      <w:tblPr>
        <w:tblStyle w:val="Tabela-Siatka"/>
        <w:tblW w:w="15230" w:type="dxa"/>
        <w:jc w:val="center"/>
        <w:tblInd w:w="-1300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429"/>
        <w:gridCol w:w="3097"/>
        <w:gridCol w:w="2318"/>
        <w:gridCol w:w="1984"/>
        <w:gridCol w:w="993"/>
        <w:gridCol w:w="6409"/>
      </w:tblGrid>
      <w:tr w:rsidR="00C40C7D" w:rsidRPr="004C1967" w:rsidTr="00184DC4">
        <w:trPr>
          <w:trHeight w:val="980"/>
          <w:jc w:val="center"/>
        </w:trPr>
        <w:tc>
          <w:tcPr>
            <w:tcW w:w="429" w:type="dxa"/>
            <w:shd w:val="clear" w:color="auto" w:fill="80E49F"/>
            <w:vAlign w:val="center"/>
          </w:tcPr>
          <w:p w:rsidR="00C40C7D" w:rsidRPr="005A0392" w:rsidRDefault="00C40C7D" w:rsidP="008C3819">
            <w:pPr>
              <w:ind w:left="-75" w:right="-87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Lp.</w:t>
            </w:r>
          </w:p>
        </w:tc>
        <w:tc>
          <w:tcPr>
            <w:tcW w:w="3097" w:type="dxa"/>
            <w:shd w:val="clear" w:color="auto" w:fill="80E49F"/>
            <w:vAlign w:val="center"/>
          </w:tcPr>
          <w:p w:rsidR="00C40C7D" w:rsidRPr="005A0392" w:rsidRDefault="00C40C7D" w:rsidP="008C3819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Położenie </w:t>
            </w:r>
          </w:p>
          <w:p w:rsidR="00C40C7D" w:rsidRPr="005A0392" w:rsidRDefault="00C40C7D" w:rsidP="008C3819">
            <w:pPr>
              <w:ind w:left="-78" w:right="-2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2318" w:type="dxa"/>
            <w:shd w:val="clear" w:color="auto" w:fill="80E49F"/>
            <w:vAlign w:val="center"/>
          </w:tcPr>
          <w:p w:rsidR="00C40C7D" w:rsidRPr="005A0392" w:rsidRDefault="00C40C7D" w:rsidP="00B72F2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Opis nieruchomości</w:t>
            </w:r>
          </w:p>
        </w:tc>
        <w:tc>
          <w:tcPr>
            <w:tcW w:w="1984" w:type="dxa"/>
            <w:shd w:val="clear" w:color="auto" w:fill="80E49F"/>
            <w:vAlign w:val="center"/>
          </w:tcPr>
          <w:p w:rsidR="00C40C7D" w:rsidRPr="005A0392" w:rsidRDefault="00C40C7D" w:rsidP="008C3819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Przeznaczenie </w:t>
            </w:r>
          </w:p>
          <w:p w:rsidR="00C40C7D" w:rsidRPr="005A0392" w:rsidRDefault="00C40C7D" w:rsidP="00B72F25">
            <w:pPr>
              <w:ind w:left="-46" w:right="-31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nieruchomości </w:t>
            </w:r>
          </w:p>
        </w:tc>
        <w:tc>
          <w:tcPr>
            <w:tcW w:w="993" w:type="dxa"/>
            <w:shd w:val="clear" w:color="auto" w:fill="80E49F"/>
            <w:vAlign w:val="center"/>
          </w:tcPr>
          <w:p w:rsidR="00C40C7D" w:rsidRPr="005A0392" w:rsidRDefault="00C40C7D" w:rsidP="00B72F25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5A0392">
              <w:rPr>
                <w:b/>
                <w:sz w:val="24"/>
              </w:rPr>
              <w:t>Powierz</w:t>
            </w:r>
            <w:r>
              <w:rPr>
                <w:b/>
                <w:sz w:val="24"/>
              </w:rPr>
              <w:t>-</w:t>
            </w:r>
            <w:r w:rsidRPr="005A0392">
              <w:rPr>
                <w:b/>
                <w:sz w:val="24"/>
              </w:rPr>
              <w:t>chnia</w:t>
            </w:r>
            <w:proofErr w:type="spellEnd"/>
            <w:r>
              <w:rPr>
                <w:b/>
                <w:sz w:val="24"/>
              </w:rPr>
              <w:t xml:space="preserve"> [m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6409" w:type="dxa"/>
            <w:shd w:val="clear" w:color="auto" w:fill="80E49F"/>
            <w:vAlign w:val="center"/>
          </w:tcPr>
          <w:p w:rsidR="00C40C7D" w:rsidRPr="005A0392" w:rsidRDefault="00C40C7D" w:rsidP="008C3819">
            <w:pPr>
              <w:jc w:val="center"/>
              <w:rPr>
                <w:b/>
                <w:sz w:val="24"/>
              </w:rPr>
            </w:pPr>
            <w:r w:rsidRPr="004C1967">
              <w:rPr>
                <w:b/>
                <w:sz w:val="22"/>
              </w:rPr>
              <w:t>Opłaty</w:t>
            </w:r>
          </w:p>
        </w:tc>
      </w:tr>
      <w:tr w:rsidR="00184DC4" w:rsidRPr="00675941" w:rsidTr="00184DC4">
        <w:trPr>
          <w:trHeight w:val="1928"/>
          <w:jc w:val="center"/>
        </w:trPr>
        <w:tc>
          <w:tcPr>
            <w:tcW w:w="429" w:type="dxa"/>
            <w:vMerge w:val="restart"/>
            <w:vAlign w:val="center"/>
          </w:tcPr>
          <w:p w:rsidR="00184DC4" w:rsidRPr="00184DC4" w:rsidRDefault="00184DC4" w:rsidP="008C3819">
            <w:pPr>
              <w:ind w:left="-75" w:right="-8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84DC4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097" w:type="dxa"/>
            <w:vMerge w:val="restart"/>
            <w:vAlign w:val="center"/>
          </w:tcPr>
          <w:p w:rsidR="00184DC4" w:rsidRPr="00184DC4" w:rsidRDefault="00184DC4" w:rsidP="00DA6D4B">
            <w:pPr>
              <w:ind w:firstLine="771"/>
              <w:rPr>
                <w:rFonts w:eastAsia="Calibri" w:cs="Times New Roman"/>
                <w:sz w:val="24"/>
                <w:szCs w:val="24"/>
              </w:rPr>
            </w:pPr>
            <w:r w:rsidRPr="00184DC4">
              <w:rPr>
                <w:rFonts w:eastAsia="Calibri" w:cs="Times New Roman"/>
                <w:sz w:val="24"/>
                <w:szCs w:val="24"/>
              </w:rPr>
              <w:t>Działka gruntu oznaczona numerem 106/7 w obrębie 21. miasta Piotrkowa Trybunalskiego, położona przy ul. Wojska Polskiego 2, wchodząca w skład nieruchomości, dla której Sąd Rejonowy w Piotrkowie Trybunalskim prowadzi księgę wieczystą nr PT1P/00062168/3.</w:t>
            </w:r>
          </w:p>
        </w:tc>
        <w:tc>
          <w:tcPr>
            <w:tcW w:w="2318" w:type="dxa"/>
            <w:vMerge w:val="restart"/>
            <w:vAlign w:val="center"/>
          </w:tcPr>
          <w:p w:rsidR="00184DC4" w:rsidRPr="00184DC4" w:rsidRDefault="00184DC4" w:rsidP="006C3E07">
            <w:pPr>
              <w:ind w:firstLine="484"/>
              <w:rPr>
                <w:rFonts w:cs="Times New Roman"/>
                <w:sz w:val="24"/>
                <w:szCs w:val="24"/>
              </w:rPr>
            </w:pPr>
            <w:r w:rsidRPr="00184DC4">
              <w:rPr>
                <w:rFonts w:cs="Times New Roman"/>
                <w:sz w:val="24"/>
                <w:szCs w:val="24"/>
              </w:rPr>
              <w:t>Dwie części gruntu o wymiarach 1 x 5 m, usytuowane przy skrzyżowaniu ulic Wojska Polskiego i Marii Skłodowskiej-Curie.</w:t>
            </w:r>
          </w:p>
        </w:tc>
        <w:tc>
          <w:tcPr>
            <w:tcW w:w="1984" w:type="dxa"/>
            <w:vMerge w:val="restart"/>
            <w:vAlign w:val="center"/>
          </w:tcPr>
          <w:p w:rsidR="00184DC4" w:rsidRPr="00184DC4" w:rsidRDefault="00184DC4" w:rsidP="00184DC4">
            <w:pPr>
              <w:ind w:firstLine="317"/>
              <w:rPr>
                <w:rFonts w:eastAsia="Calibri" w:cs="Times New Roman"/>
                <w:sz w:val="24"/>
                <w:szCs w:val="24"/>
              </w:rPr>
            </w:pPr>
            <w:r w:rsidRPr="00184DC4">
              <w:rPr>
                <w:sz w:val="24"/>
                <w:szCs w:val="24"/>
              </w:rPr>
              <w:t xml:space="preserve">Do </w:t>
            </w:r>
            <w:r>
              <w:rPr>
                <w:sz w:val="24"/>
                <w:szCs w:val="24"/>
              </w:rPr>
              <w:t xml:space="preserve">zabudowy usługowej z </w:t>
            </w:r>
            <w:r w:rsidRPr="00184DC4">
              <w:rPr>
                <w:sz w:val="24"/>
                <w:szCs w:val="24"/>
              </w:rPr>
              <w:t>dużym udziałem zieleni</w:t>
            </w:r>
            <w:r w:rsidRPr="00184DC4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184DC4" w:rsidRPr="00184DC4" w:rsidRDefault="00184DC4" w:rsidP="00C40C7D">
            <w:pPr>
              <w:ind w:left="-154" w:right="-17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84DC4">
              <w:rPr>
                <w:rFonts w:eastAsia="Calibri" w:cs="Times New Roman"/>
                <w:sz w:val="24"/>
                <w:szCs w:val="24"/>
              </w:rPr>
              <w:t>5,00</w:t>
            </w:r>
          </w:p>
        </w:tc>
        <w:tc>
          <w:tcPr>
            <w:tcW w:w="6409" w:type="dxa"/>
            <w:vAlign w:val="center"/>
          </w:tcPr>
          <w:p w:rsidR="00184DC4" w:rsidRPr="00184DC4" w:rsidRDefault="00184DC4" w:rsidP="008C3819">
            <w:pPr>
              <w:pStyle w:val="Akapitzlist"/>
              <w:numPr>
                <w:ilvl w:val="0"/>
                <w:numId w:val="1"/>
              </w:numPr>
              <w:ind w:left="459"/>
              <w:rPr>
                <w:rFonts w:cs="Times New Roman"/>
                <w:sz w:val="24"/>
                <w:szCs w:val="24"/>
              </w:rPr>
            </w:pPr>
            <w:r w:rsidRPr="00184DC4">
              <w:rPr>
                <w:rFonts w:cs="Times New Roman"/>
                <w:sz w:val="24"/>
                <w:szCs w:val="24"/>
              </w:rPr>
              <w:t xml:space="preserve">Czynsz dzierżawny </w:t>
            </w:r>
            <w:r w:rsidR="006A4619">
              <w:rPr>
                <w:rFonts w:cs="Times New Roman"/>
                <w:sz w:val="24"/>
                <w:szCs w:val="24"/>
              </w:rPr>
              <w:t>wynosi 92</w:t>
            </w:r>
            <w:r w:rsidRPr="00184DC4">
              <w:rPr>
                <w:rFonts w:cs="Times New Roman"/>
                <w:sz w:val="24"/>
                <w:szCs w:val="24"/>
              </w:rPr>
              <w:t>,</w:t>
            </w:r>
            <w:r w:rsidR="006A4619">
              <w:rPr>
                <w:rFonts w:cs="Times New Roman"/>
                <w:sz w:val="24"/>
                <w:szCs w:val="24"/>
              </w:rPr>
              <w:t>25</w:t>
            </w:r>
            <w:r w:rsidRPr="00184DC4">
              <w:rPr>
                <w:rFonts w:cs="Times New Roman"/>
                <w:sz w:val="24"/>
                <w:szCs w:val="24"/>
              </w:rPr>
              <w:t xml:space="preserve"> zł/m</w:t>
            </w:r>
            <w:r w:rsidRPr="00184DC4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184DC4">
              <w:rPr>
                <w:rFonts w:cs="Times New Roman"/>
                <w:sz w:val="24"/>
                <w:szCs w:val="24"/>
              </w:rPr>
              <w:t xml:space="preserve">; wnoszony </w:t>
            </w:r>
            <w:r w:rsidR="006A4619">
              <w:rPr>
                <w:rFonts w:cs="Times New Roman"/>
                <w:sz w:val="24"/>
                <w:szCs w:val="24"/>
              </w:rPr>
              <w:t>miesięcznie z </w:t>
            </w:r>
            <w:r w:rsidRPr="00184DC4">
              <w:rPr>
                <w:rFonts w:cs="Times New Roman"/>
                <w:sz w:val="24"/>
                <w:szCs w:val="24"/>
              </w:rPr>
              <w:t>góry, na podstawie faktury wystawionej przez Wydzierżawiającego.</w:t>
            </w:r>
          </w:p>
          <w:p w:rsidR="00184DC4" w:rsidRPr="00184DC4" w:rsidRDefault="00184DC4" w:rsidP="006D0410">
            <w:pPr>
              <w:pStyle w:val="Akapitzlist"/>
              <w:numPr>
                <w:ilvl w:val="0"/>
                <w:numId w:val="1"/>
              </w:numPr>
              <w:ind w:left="459"/>
              <w:rPr>
                <w:rFonts w:cs="Times New Roman"/>
                <w:sz w:val="24"/>
                <w:szCs w:val="24"/>
              </w:rPr>
            </w:pPr>
            <w:r w:rsidRPr="00184DC4">
              <w:rPr>
                <w:rFonts w:cs="Times New Roman"/>
                <w:sz w:val="24"/>
                <w:szCs w:val="24"/>
              </w:rPr>
              <w:t>Wysokość czynszu może być waloryzowana raz w roku zgodnie ze wskaźnikiem inflacji ogłaszanym przez GUS.</w:t>
            </w:r>
          </w:p>
        </w:tc>
      </w:tr>
      <w:tr w:rsidR="00184DC4" w:rsidRPr="00675941" w:rsidTr="00184DC4">
        <w:trPr>
          <w:trHeight w:val="1984"/>
          <w:jc w:val="center"/>
        </w:trPr>
        <w:tc>
          <w:tcPr>
            <w:tcW w:w="429" w:type="dxa"/>
            <w:vMerge/>
            <w:vAlign w:val="center"/>
          </w:tcPr>
          <w:p w:rsidR="00184DC4" w:rsidRPr="00184DC4" w:rsidRDefault="00184DC4" w:rsidP="008C3819">
            <w:pPr>
              <w:ind w:left="-75" w:right="-8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97" w:type="dxa"/>
            <w:vMerge/>
            <w:vAlign w:val="center"/>
          </w:tcPr>
          <w:p w:rsidR="00184DC4" w:rsidRPr="00184DC4" w:rsidRDefault="00184DC4" w:rsidP="00F83C96">
            <w:pPr>
              <w:ind w:firstLine="484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184DC4" w:rsidRPr="00184DC4" w:rsidRDefault="00184DC4" w:rsidP="00B72F25">
            <w:pPr>
              <w:ind w:firstLine="4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84DC4" w:rsidRPr="00184DC4" w:rsidRDefault="00184DC4" w:rsidP="00C40C7D">
            <w:pPr>
              <w:ind w:left="-154" w:right="-17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84DC4" w:rsidRPr="00184DC4" w:rsidRDefault="00184DC4" w:rsidP="00C40C7D">
            <w:pPr>
              <w:ind w:left="-154" w:right="-17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84DC4">
              <w:rPr>
                <w:rFonts w:eastAsia="Calibri" w:cs="Times New Roman"/>
                <w:sz w:val="24"/>
                <w:szCs w:val="24"/>
              </w:rPr>
              <w:t>5,00</w:t>
            </w:r>
          </w:p>
        </w:tc>
        <w:tc>
          <w:tcPr>
            <w:tcW w:w="6409" w:type="dxa"/>
            <w:vAlign w:val="center"/>
          </w:tcPr>
          <w:p w:rsidR="00184DC4" w:rsidRPr="00184DC4" w:rsidRDefault="00184DC4" w:rsidP="00C40C7D">
            <w:pPr>
              <w:pStyle w:val="Akapitzlist"/>
              <w:numPr>
                <w:ilvl w:val="0"/>
                <w:numId w:val="2"/>
              </w:numPr>
              <w:ind w:left="459"/>
              <w:rPr>
                <w:rFonts w:cs="Times New Roman"/>
                <w:sz w:val="24"/>
                <w:szCs w:val="24"/>
              </w:rPr>
            </w:pPr>
            <w:r w:rsidRPr="00184DC4">
              <w:rPr>
                <w:rFonts w:cs="Times New Roman"/>
                <w:sz w:val="24"/>
                <w:szCs w:val="24"/>
              </w:rPr>
              <w:t xml:space="preserve">Czynsz najmu </w:t>
            </w:r>
            <w:r w:rsidR="006A4619">
              <w:rPr>
                <w:rFonts w:cs="Times New Roman"/>
                <w:sz w:val="24"/>
                <w:szCs w:val="24"/>
              </w:rPr>
              <w:t>wynosi 61</w:t>
            </w:r>
            <w:r w:rsidRPr="00184DC4">
              <w:rPr>
                <w:rFonts w:cs="Times New Roman"/>
                <w:sz w:val="24"/>
                <w:szCs w:val="24"/>
              </w:rPr>
              <w:t>,</w:t>
            </w:r>
            <w:r w:rsidR="006A4619">
              <w:rPr>
                <w:rFonts w:cs="Times New Roman"/>
                <w:sz w:val="24"/>
                <w:szCs w:val="24"/>
              </w:rPr>
              <w:t>5</w:t>
            </w:r>
            <w:r w:rsidRPr="00184DC4">
              <w:rPr>
                <w:rFonts w:cs="Times New Roman"/>
                <w:sz w:val="24"/>
                <w:szCs w:val="24"/>
              </w:rPr>
              <w:t>0 zł/m</w:t>
            </w:r>
            <w:r w:rsidRPr="00184DC4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184DC4">
              <w:rPr>
                <w:rFonts w:cs="Times New Roman"/>
                <w:sz w:val="24"/>
                <w:szCs w:val="24"/>
              </w:rPr>
              <w:t>; wnoszony miesięcznie z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="001C029F">
              <w:rPr>
                <w:rFonts w:cs="Times New Roman"/>
                <w:sz w:val="24"/>
                <w:szCs w:val="24"/>
              </w:rPr>
              <w:t> </w:t>
            </w:r>
            <w:r w:rsidRPr="00184DC4">
              <w:rPr>
                <w:rFonts w:cs="Times New Roman"/>
                <w:sz w:val="24"/>
                <w:szCs w:val="24"/>
              </w:rPr>
              <w:t>góry, na podstawie faktury wystawionej przez Wynajmującego.</w:t>
            </w:r>
          </w:p>
          <w:p w:rsidR="00184DC4" w:rsidRPr="00184DC4" w:rsidRDefault="00184DC4" w:rsidP="00C40C7D">
            <w:pPr>
              <w:pStyle w:val="Akapitzlist"/>
              <w:numPr>
                <w:ilvl w:val="0"/>
                <w:numId w:val="2"/>
              </w:numPr>
              <w:ind w:left="459"/>
              <w:rPr>
                <w:rFonts w:cs="Times New Roman"/>
                <w:sz w:val="24"/>
                <w:szCs w:val="24"/>
              </w:rPr>
            </w:pPr>
            <w:r w:rsidRPr="00184DC4">
              <w:rPr>
                <w:rFonts w:cs="Times New Roman"/>
                <w:sz w:val="24"/>
                <w:szCs w:val="24"/>
              </w:rPr>
              <w:t>Wysokość czynszu może być waloryzowana raz w roku zgodnie ze wskaźnikiem inflacji ogłaszanym przez GUS.</w:t>
            </w:r>
          </w:p>
        </w:tc>
      </w:tr>
    </w:tbl>
    <w:p w:rsidR="00014833" w:rsidRPr="00144449" w:rsidRDefault="00014833" w:rsidP="00014833">
      <w:pPr>
        <w:jc w:val="center"/>
        <w:rPr>
          <w:b/>
          <w:sz w:val="16"/>
          <w:szCs w:val="24"/>
        </w:rPr>
      </w:pPr>
    </w:p>
    <w:p w:rsidR="00014833" w:rsidRDefault="00014833" w:rsidP="00014833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DA6D4B">
        <w:rPr>
          <w:b/>
          <w:szCs w:val="24"/>
        </w:rPr>
        <w:t>25</w:t>
      </w:r>
      <w:r>
        <w:rPr>
          <w:b/>
          <w:szCs w:val="24"/>
        </w:rPr>
        <w:t xml:space="preserve"> </w:t>
      </w:r>
      <w:r w:rsidR="006D0410">
        <w:rPr>
          <w:b/>
          <w:szCs w:val="24"/>
        </w:rPr>
        <w:t xml:space="preserve">lutego </w:t>
      </w:r>
      <w:r>
        <w:rPr>
          <w:b/>
          <w:szCs w:val="24"/>
        </w:rPr>
        <w:t xml:space="preserve">do </w:t>
      </w:r>
      <w:r w:rsidR="00DA6D4B">
        <w:rPr>
          <w:b/>
          <w:szCs w:val="24"/>
        </w:rPr>
        <w:t>11</w:t>
      </w:r>
      <w:r>
        <w:rPr>
          <w:b/>
          <w:szCs w:val="24"/>
        </w:rPr>
        <w:t xml:space="preserve"> marca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6D0410">
        <w:rPr>
          <w:b/>
          <w:szCs w:val="24"/>
        </w:rPr>
        <w:t>4</w:t>
      </w:r>
      <w:r w:rsidRPr="0081648B">
        <w:rPr>
          <w:b/>
          <w:szCs w:val="24"/>
        </w:rPr>
        <w:t xml:space="preserve"> roku.</w:t>
      </w:r>
    </w:p>
    <w:p w:rsidR="00014833" w:rsidRPr="00851F8F" w:rsidRDefault="00014833" w:rsidP="00014833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 xml:space="preserve">, pok. 115, </w:t>
      </w:r>
      <w:r w:rsidRPr="001240F8">
        <w:rPr>
          <w:b/>
          <w:sz w:val="26"/>
          <w:szCs w:val="24"/>
        </w:rPr>
        <w:t xml:space="preserve"> tel. 042 205-58-71;  042 205-58-72, wewnętrzny 115.</w:t>
      </w:r>
    </w:p>
    <w:p w:rsidR="00014833" w:rsidRDefault="00014833" w:rsidP="00014833"/>
    <w:p w:rsidR="00014833" w:rsidRDefault="00014833" w:rsidP="00014833"/>
    <w:p w:rsidR="00014833" w:rsidRDefault="00014833" w:rsidP="00014833"/>
    <w:p w:rsidR="000A4925" w:rsidRDefault="000A4925"/>
    <w:sectPr w:rsidR="000A4925" w:rsidSect="00026757">
      <w:footerReference w:type="default" r:id="rId7"/>
      <w:pgSz w:w="16838" w:h="11906" w:orient="landscape"/>
      <w:pgMar w:top="851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C9B" w:rsidRDefault="00190C9B" w:rsidP="006D0410">
      <w:pPr>
        <w:spacing w:line="240" w:lineRule="auto"/>
      </w:pPr>
      <w:r>
        <w:separator/>
      </w:r>
    </w:p>
  </w:endnote>
  <w:endnote w:type="continuationSeparator" w:id="0">
    <w:p w:rsidR="00190C9B" w:rsidRDefault="00190C9B" w:rsidP="006D0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2F7AE7" w:rsidRPr="006D0410" w:rsidRDefault="00B36D5C">
            <w:pPr>
              <w:pStyle w:val="Stopka"/>
              <w:jc w:val="center"/>
              <w:rPr>
                <w:i/>
                <w:sz w:val="24"/>
              </w:rPr>
            </w:pPr>
            <w:r w:rsidRPr="006D0410">
              <w:rPr>
                <w:i/>
                <w:sz w:val="24"/>
              </w:rPr>
              <w:t xml:space="preserve">Strona </w:t>
            </w:r>
            <w:r w:rsidR="00274972" w:rsidRPr="006D0410">
              <w:rPr>
                <w:b/>
                <w:i/>
                <w:sz w:val="20"/>
                <w:szCs w:val="24"/>
              </w:rPr>
              <w:fldChar w:fldCharType="begin"/>
            </w:r>
            <w:r w:rsidRPr="006D0410">
              <w:rPr>
                <w:b/>
                <w:i/>
                <w:sz w:val="24"/>
              </w:rPr>
              <w:instrText>PAGE</w:instrText>
            </w:r>
            <w:r w:rsidR="00274972" w:rsidRPr="006D0410">
              <w:rPr>
                <w:b/>
                <w:i/>
                <w:sz w:val="20"/>
                <w:szCs w:val="24"/>
              </w:rPr>
              <w:fldChar w:fldCharType="separate"/>
            </w:r>
            <w:r w:rsidR="006A4619">
              <w:rPr>
                <w:b/>
                <w:i/>
                <w:noProof/>
                <w:sz w:val="24"/>
              </w:rPr>
              <w:t>1</w:t>
            </w:r>
            <w:r w:rsidR="00274972" w:rsidRPr="006D0410">
              <w:rPr>
                <w:b/>
                <w:i/>
                <w:sz w:val="20"/>
                <w:szCs w:val="24"/>
              </w:rPr>
              <w:fldChar w:fldCharType="end"/>
            </w:r>
            <w:r w:rsidRPr="006D0410">
              <w:rPr>
                <w:i/>
                <w:sz w:val="24"/>
              </w:rPr>
              <w:t xml:space="preserve"> z </w:t>
            </w:r>
            <w:r w:rsidR="00274972" w:rsidRPr="006D0410">
              <w:rPr>
                <w:b/>
                <w:i/>
                <w:sz w:val="20"/>
                <w:szCs w:val="24"/>
              </w:rPr>
              <w:fldChar w:fldCharType="begin"/>
            </w:r>
            <w:r w:rsidRPr="006D0410">
              <w:rPr>
                <w:b/>
                <w:i/>
                <w:sz w:val="24"/>
              </w:rPr>
              <w:instrText>NUMPAGES</w:instrText>
            </w:r>
            <w:r w:rsidR="00274972" w:rsidRPr="006D0410">
              <w:rPr>
                <w:b/>
                <w:i/>
                <w:sz w:val="20"/>
                <w:szCs w:val="24"/>
              </w:rPr>
              <w:fldChar w:fldCharType="separate"/>
            </w:r>
            <w:r w:rsidR="006A4619">
              <w:rPr>
                <w:b/>
                <w:i/>
                <w:noProof/>
                <w:sz w:val="24"/>
              </w:rPr>
              <w:t>1</w:t>
            </w:r>
            <w:r w:rsidR="00274972" w:rsidRPr="006D0410">
              <w:rPr>
                <w:b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C9B" w:rsidRDefault="00190C9B" w:rsidP="006D0410">
      <w:pPr>
        <w:spacing w:line="240" w:lineRule="auto"/>
      </w:pPr>
      <w:r>
        <w:separator/>
      </w:r>
    </w:p>
  </w:footnote>
  <w:footnote w:type="continuationSeparator" w:id="0">
    <w:p w:rsidR="00190C9B" w:rsidRDefault="00190C9B" w:rsidP="006D04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732"/>
    <w:multiLevelType w:val="hybridMultilevel"/>
    <w:tmpl w:val="FEC4516E"/>
    <w:lvl w:ilvl="0" w:tplc="0DD01F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21A5"/>
    <w:multiLevelType w:val="hybridMultilevel"/>
    <w:tmpl w:val="C2BE9990"/>
    <w:lvl w:ilvl="0" w:tplc="8C0E6E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833"/>
    <w:rsid w:val="00014833"/>
    <w:rsid w:val="0008173F"/>
    <w:rsid w:val="000A4925"/>
    <w:rsid w:val="00184DC4"/>
    <w:rsid w:val="00190C9B"/>
    <w:rsid w:val="001B01D1"/>
    <w:rsid w:val="001C029F"/>
    <w:rsid w:val="001C1B71"/>
    <w:rsid w:val="001C5406"/>
    <w:rsid w:val="001E013B"/>
    <w:rsid w:val="00274972"/>
    <w:rsid w:val="002B4891"/>
    <w:rsid w:val="00343F43"/>
    <w:rsid w:val="003622FA"/>
    <w:rsid w:val="003C2F14"/>
    <w:rsid w:val="005206A2"/>
    <w:rsid w:val="00580C97"/>
    <w:rsid w:val="005D2F11"/>
    <w:rsid w:val="00601C76"/>
    <w:rsid w:val="00621B7E"/>
    <w:rsid w:val="006A4619"/>
    <w:rsid w:val="006C3E07"/>
    <w:rsid w:val="006D0410"/>
    <w:rsid w:val="00794312"/>
    <w:rsid w:val="0086485D"/>
    <w:rsid w:val="008B41BB"/>
    <w:rsid w:val="008D1348"/>
    <w:rsid w:val="009136E0"/>
    <w:rsid w:val="00B36D5C"/>
    <w:rsid w:val="00C40C7D"/>
    <w:rsid w:val="00CB3864"/>
    <w:rsid w:val="00D01AFD"/>
    <w:rsid w:val="00DA6D4B"/>
    <w:rsid w:val="00E25737"/>
    <w:rsid w:val="00F108A1"/>
    <w:rsid w:val="00F8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83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483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148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83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0148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04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410"/>
    <w:rPr>
      <w:rFonts w:ascii="Times New Roman" w:hAnsi="Times New Roman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10</cp:revision>
  <cp:lastPrinted>2014-02-19T11:03:00Z</cp:lastPrinted>
  <dcterms:created xsi:type="dcterms:W3CDTF">2014-02-05T09:46:00Z</dcterms:created>
  <dcterms:modified xsi:type="dcterms:W3CDTF">2014-02-19T11:26:00Z</dcterms:modified>
</cp:coreProperties>
</file>