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98" w:rsidRDefault="00C20098" w:rsidP="00C20098">
      <w:pPr>
        <w:jc w:val="center"/>
        <w:rPr>
          <w:b/>
          <w:sz w:val="26"/>
          <w:szCs w:val="24"/>
        </w:rPr>
      </w:pPr>
    </w:p>
    <w:p w:rsidR="00C20098" w:rsidRPr="008534EA" w:rsidRDefault="00C20098" w:rsidP="00C20098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C20098" w:rsidRPr="008534EA" w:rsidRDefault="00C20098" w:rsidP="00C20098">
      <w:pPr>
        <w:jc w:val="center"/>
        <w:rPr>
          <w:b/>
          <w:sz w:val="22"/>
        </w:rPr>
      </w:pPr>
    </w:p>
    <w:p w:rsidR="00C20098" w:rsidRPr="008534EA" w:rsidRDefault="00C20098" w:rsidP="00C20098">
      <w:pPr>
        <w:jc w:val="center"/>
        <w:rPr>
          <w:b/>
          <w:sz w:val="22"/>
        </w:rPr>
      </w:pPr>
    </w:p>
    <w:p w:rsidR="00C20098" w:rsidRPr="00285191" w:rsidRDefault="00C20098" w:rsidP="00C20098">
      <w:pPr>
        <w:jc w:val="center"/>
        <w:rPr>
          <w:b/>
          <w:sz w:val="48"/>
        </w:rPr>
      </w:pPr>
      <w:r w:rsidRPr="00285191">
        <w:rPr>
          <w:b/>
          <w:sz w:val="48"/>
        </w:rPr>
        <w:t>Wykaz nieruchomości Województwa Łódzkiego</w:t>
      </w:r>
    </w:p>
    <w:p w:rsidR="00C20098" w:rsidRPr="00285191" w:rsidRDefault="00C20098" w:rsidP="00C20098">
      <w:pPr>
        <w:jc w:val="center"/>
        <w:rPr>
          <w:b/>
          <w:sz w:val="48"/>
        </w:rPr>
      </w:pPr>
      <w:r w:rsidRPr="00285191">
        <w:rPr>
          <w:b/>
          <w:sz w:val="48"/>
        </w:rPr>
        <w:t>przeznaczonych do sprzedaży</w:t>
      </w:r>
    </w:p>
    <w:p w:rsidR="00C20098" w:rsidRDefault="00C20098" w:rsidP="00C20098">
      <w:pPr>
        <w:rPr>
          <w:sz w:val="14"/>
        </w:rPr>
      </w:pPr>
    </w:p>
    <w:p w:rsidR="00C20098" w:rsidRDefault="00C20098" w:rsidP="00C20098">
      <w:pPr>
        <w:rPr>
          <w:sz w:val="14"/>
        </w:rPr>
      </w:pPr>
    </w:p>
    <w:p w:rsidR="00C20098" w:rsidRDefault="00C20098" w:rsidP="00C20098">
      <w:pPr>
        <w:rPr>
          <w:sz w:val="14"/>
        </w:rPr>
      </w:pPr>
    </w:p>
    <w:p w:rsidR="00C20098" w:rsidRPr="008A24BB" w:rsidRDefault="00C20098" w:rsidP="00C20098">
      <w:pPr>
        <w:rPr>
          <w:sz w:val="14"/>
        </w:rPr>
      </w:pPr>
    </w:p>
    <w:tbl>
      <w:tblPr>
        <w:tblStyle w:val="Tabela-Siatka"/>
        <w:tblW w:w="15651" w:type="dxa"/>
        <w:jc w:val="center"/>
        <w:tblInd w:w="-741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05"/>
        <w:gridCol w:w="3890"/>
        <w:gridCol w:w="1134"/>
        <w:gridCol w:w="4819"/>
        <w:gridCol w:w="3969"/>
        <w:gridCol w:w="1234"/>
      </w:tblGrid>
      <w:tr w:rsidR="00C20098" w:rsidRPr="004C1967" w:rsidTr="0025048D">
        <w:trPr>
          <w:trHeight w:val="1153"/>
          <w:jc w:val="center"/>
        </w:trPr>
        <w:tc>
          <w:tcPr>
            <w:tcW w:w="605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C20098" w:rsidRPr="00C20098" w:rsidRDefault="00C20098" w:rsidP="0062514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890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C20098" w:rsidRPr="00C20098" w:rsidRDefault="00C20098" w:rsidP="0062514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C20098" w:rsidRPr="00C20098" w:rsidRDefault="00C20098" w:rsidP="00625140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C20098" w:rsidRPr="00C20098" w:rsidRDefault="00C20098" w:rsidP="00625140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C20098" w:rsidRPr="00C20098" w:rsidRDefault="00C20098" w:rsidP="0062514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C20098" w:rsidRPr="00C20098" w:rsidRDefault="00C20098" w:rsidP="0062514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C20098" w:rsidRPr="00C20098" w:rsidRDefault="00C20098" w:rsidP="0062514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234" w:type="dxa"/>
            <w:tcBorders>
              <w:bottom w:val="single" w:sz="4" w:space="0" w:color="000000" w:themeColor="text1"/>
            </w:tcBorders>
            <w:shd w:val="clear" w:color="auto" w:fill="00F200"/>
            <w:vAlign w:val="center"/>
          </w:tcPr>
          <w:p w:rsidR="00C20098" w:rsidRPr="00C20098" w:rsidRDefault="00C20098" w:rsidP="0062514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Cena brutto</w:t>
            </w:r>
          </w:p>
          <w:p w:rsidR="00C20098" w:rsidRPr="00C20098" w:rsidRDefault="00C20098" w:rsidP="00625140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C20098" w:rsidRPr="00675941" w:rsidTr="00A257D9">
        <w:trPr>
          <w:trHeight w:val="4228"/>
          <w:jc w:val="center"/>
        </w:trPr>
        <w:tc>
          <w:tcPr>
            <w:tcW w:w="60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0098" w:rsidRPr="00AA0C1B" w:rsidRDefault="00C20098" w:rsidP="00625140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3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0098" w:rsidRPr="00AA0C1B" w:rsidRDefault="00C20098" w:rsidP="00C20098">
            <w:pPr>
              <w:ind w:firstLine="375"/>
              <w:rPr>
                <w:sz w:val="22"/>
              </w:rPr>
            </w:pPr>
            <w:r w:rsidRPr="00AA0C1B">
              <w:rPr>
                <w:sz w:val="22"/>
              </w:rPr>
              <w:t xml:space="preserve">Nieruchomość oznaczona w ewidencji gruntów, w obrębie </w:t>
            </w:r>
            <w:r>
              <w:rPr>
                <w:sz w:val="22"/>
              </w:rPr>
              <w:t>13.</w:t>
            </w:r>
            <w:r w:rsidRPr="00AA0C1B">
              <w:rPr>
                <w:sz w:val="22"/>
              </w:rPr>
              <w:t xml:space="preserve"> m.</w:t>
            </w:r>
            <w:r>
              <w:rPr>
                <w:sz w:val="22"/>
              </w:rPr>
              <w:t> Warta</w:t>
            </w:r>
            <w:r w:rsidRPr="00AA0C1B">
              <w:rPr>
                <w:sz w:val="22"/>
              </w:rPr>
              <w:t>, jako działk</w:t>
            </w:r>
            <w:r>
              <w:rPr>
                <w:sz w:val="22"/>
              </w:rPr>
              <w:t>a</w:t>
            </w:r>
            <w:r w:rsidRPr="00AA0C1B">
              <w:rPr>
                <w:sz w:val="22"/>
              </w:rPr>
              <w:t xml:space="preserve"> nr </w:t>
            </w:r>
            <w:r>
              <w:rPr>
                <w:sz w:val="22"/>
              </w:rPr>
              <w:t>32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 xml:space="preserve">15, </w:t>
            </w:r>
            <w:r w:rsidRPr="00AA0C1B">
              <w:rPr>
                <w:sz w:val="22"/>
              </w:rPr>
              <w:t xml:space="preserve"> położona przy ul. </w:t>
            </w:r>
            <w:r>
              <w:rPr>
                <w:sz w:val="22"/>
              </w:rPr>
              <w:t>Sieradzkiej 7A</w:t>
            </w:r>
            <w:r w:rsidRPr="00AA0C1B">
              <w:rPr>
                <w:sz w:val="22"/>
              </w:rPr>
              <w:t>, dla której S</w:t>
            </w:r>
            <w:r>
              <w:rPr>
                <w:sz w:val="22"/>
              </w:rPr>
              <w:t xml:space="preserve">ąd </w:t>
            </w:r>
            <w:r w:rsidRPr="00AA0C1B">
              <w:rPr>
                <w:sz w:val="22"/>
              </w:rPr>
              <w:t>R</w:t>
            </w:r>
            <w:r>
              <w:rPr>
                <w:sz w:val="22"/>
              </w:rPr>
              <w:t>ejonowy</w:t>
            </w:r>
            <w:r w:rsidRPr="00AA0C1B">
              <w:rPr>
                <w:sz w:val="22"/>
              </w:rPr>
              <w:t xml:space="preserve"> w </w:t>
            </w:r>
            <w:r>
              <w:rPr>
                <w:sz w:val="22"/>
              </w:rPr>
              <w:t>Sieradzu</w:t>
            </w:r>
            <w:r w:rsidRPr="00AA0C1B">
              <w:rPr>
                <w:sz w:val="22"/>
              </w:rPr>
              <w:t xml:space="preserve"> prowadzi księgę wieczystą nr </w:t>
            </w:r>
            <w:r>
              <w:rPr>
                <w:sz w:val="22"/>
              </w:rPr>
              <w:t>SR</w:t>
            </w:r>
            <w:r w:rsidRPr="00AA0C1B">
              <w:rPr>
                <w:sz w:val="22"/>
              </w:rPr>
              <w:t>1</w:t>
            </w:r>
            <w:r>
              <w:rPr>
                <w:sz w:val="22"/>
              </w:rPr>
              <w:t>S</w:t>
            </w:r>
            <w:r w:rsidRPr="00AA0C1B">
              <w:rPr>
                <w:sz w:val="22"/>
              </w:rPr>
              <w:t>/000</w:t>
            </w:r>
            <w:r>
              <w:rPr>
                <w:sz w:val="22"/>
              </w:rPr>
              <w:t>55376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0</w:t>
            </w:r>
            <w:r w:rsidRPr="00AA0C1B">
              <w:rPr>
                <w:sz w:val="22"/>
              </w:rPr>
              <w:t xml:space="preserve">. </w:t>
            </w:r>
          </w:p>
          <w:p w:rsidR="00C20098" w:rsidRPr="00AA0C1B" w:rsidRDefault="00C20098" w:rsidP="00625140">
            <w:pPr>
              <w:ind w:firstLine="375"/>
              <w:rPr>
                <w:sz w:val="22"/>
              </w:rPr>
            </w:pPr>
            <w:r w:rsidRPr="00AA0C1B">
              <w:rPr>
                <w:sz w:val="22"/>
              </w:rPr>
              <w:t>Własność Województwa Łódzkiego.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0098" w:rsidRPr="00AA0C1B" w:rsidRDefault="00C20098" w:rsidP="00C2009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0</w:t>
            </w:r>
            <w:r w:rsidRPr="00AA0C1B">
              <w:rPr>
                <w:sz w:val="22"/>
              </w:rPr>
              <w:t>,</w:t>
            </w:r>
            <w:r>
              <w:rPr>
                <w:sz w:val="22"/>
              </w:rPr>
              <w:t>0683</w:t>
            </w:r>
            <w:r w:rsidR="00625140">
              <w:rPr>
                <w:sz w:val="22"/>
              </w:rPr>
              <w:t xml:space="preserve"> ha</w:t>
            </w:r>
            <w:r w:rsidRPr="00AA0C1B">
              <w:rPr>
                <w:b/>
                <w:sz w:val="22"/>
              </w:rPr>
              <w:t xml:space="preserve"> 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575E" w:rsidRDefault="00C20098" w:rsidP="0069575E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Na działce posadowione są dwa przylegające do siebie budynki mieszkalne o łącznej powierzchni użytkowej 218,50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</w:t>
            </w:r>
            <w:r w:rsidR="0069575E">
              <w:rPr>
                <w:sz w:val="22"/>
              </w:rPr>
              <w:t xml:space="preserve"> Budynki są przyłączone do sieci energetycznej </w:t>
            </w:r>
            <w:r w:rsidR="00E7615C">
              <w:rPr>
                <w:sz w:val="22"/>
              </w:rPr>
              <w:t>publicznej oraz</w:t>
            </w:r>
            <w:r w:rsidR="0069575E">
              <w:rPr>
                <w:sz w:val="22"/>
              </w:rPr>
              <w:t xml:space="preserve"> </w:t>
            </w:r>
            <w:r w:rsidR="00E7615C">
              <w:rPr>
                <w:sz w:val="22"/>
              </w:rPr>
              <w:t xml:space="preserve">do sieci </w:t>
            </w:r>
            <w:r w:rsidR="0069575E">
              <w:rPr>
                <w:sz w:val="22"/>
              </w:rPr>
              <w:t xml:space="preserve">wodno-kanalizacyjnej </w:t>
            </w:r>
            <w:r w:rsidR="00E7615C">
              <w:rPr>
                <w:sz w:val="22"/>
              </w:rPr>
              <w:t>i</w:t>
            </w:r>
            <w:r w:rsidR="0069575E">
              <w:rPr>
                <w:sz w:val="22"/>
              </w:rPr>
              <w:t xml:space="preserve"> cieplnej sąsiedniego szpitala.</w:t>
            </w:r>
          </w:p>
          <w:p w:rsidR="00C20098" w:rsidRPr="00C20098" w:rsidRDefault="0069575E" w:rsidP="0069575E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Dostęp do drogi publicznej odbywa się przez działkę sąsiednią, nr 32/13, na której ustanowiona jest służebność wjazdu i wyjazdu, </w:t>
            </w:r>
            <w:proofErr w:type="spellStart"/>
            <w:r>
              <w:rPr>
                <w:sz w:val="22"/>
              </w:rPr>
              <w:t>przechodu</w:t>
            </w:r>
            <w:proofErr w:type="spellEnd"/>
            <w:r>
              <w:rPr>
                <w:sz w:val="22"/>
              </w:rPr>
              <w:t xml:space="preserve"> i przejazdu</w:t>
            </w:r>
            <w:r w:rsidR="00B00264">
              <w:rPr>
                <w:sz w:val="22"/>
              </w:rPr>
              <w:t>, na rzecz działki 32/15.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0098" w:rsidRPr="00AA0C1B" w:rsidRDefault="00C20098" w:rsidP="00B00264">
            <w:pPr>
              <w:ind w:firstLine="484"/>
              <w:rPr>
                <w:rFonts w:eastAsia="Calibri" w:cs="Times New Roman"/>
                <w:b/>
                <w:sz w:val="22"/>
              </w:rPr>
            </w:pPr>
            <w:r w:rsidRPr="00AA0C1B">
              <w:rPr>
                <w:sz w:val="22"/>
              </w:rPr>
              <w:t>Teren, na którym położona jest</w:t>
            </w:r>
            <w:r>
              <w:rPr>
                <w:sz w:val="22"/>
              </w:rPr>
              <w:t xml:space="preserve"> nieruchomość</w:t>
            </w:r>
            <w:r w:rsidRPr="00AA0C1B">
              <w:rPr>
                <w:sz w:val="22"/>
              </w:rPr>
              <w:t xml:space="preserve">, nie </w:t>
            </w:r>
            <w:r>
              <w:rPr>
                <w:sz w:val="22"/>
              </w:rPr>
              <w:t xml:space="preserve">jest objęty aktualnym </w:t>
            </w:r>
            <w:r w:rsidRPr="00AA0C1B">
              <w:rPr>
                <w:sz w:val="22"/>
              </w:rPr>
              <w:t>plan</w:t>
            </w:r>
            <w:r>
              <w:rPr>
                <w:sz w:val="22"/>
              </w:rPr>
              <w:t>em</w:t>
            </w:r>
            <w:r w:rsidRPr="00AA0C1B">
              <w:rPr>
                <w:sz w:val="22"/>
              </w:rPr>
              <w:t xml:space="preserve"> </w:t>
            </w:r>
            <w:r>
              <w:rPr>
                <w:sz w:val="22"/>
              </w:rPr>
              <w:t>zagospodaro</w:t>
            </w:r>
            <w:r w:rsidRPr="00AA0C1B">
              <w:rPr>
                <w:sz w:val="22"/>
              </w:rPr>
              <w:t xml:space="preserve">wania </w:t>
            </w:r>
            <w:proofErr w:type="spellStart"/>
            <w:r w:rsidRPr="00AA0C1B">
              <w:rPr>
                <w:sz w:val="22"/>
              </w:rPr>
              <w:t>przes</w:t>
            </w:r>
            <w:r>
              <w:rPr>
                <w:sz w:val="22"/>
              </w:rPr>
              <w:t>trzen-nego</w:t>
            </w:r>
            <w:proofErr w:type="spellEnd"/>
            <w:r>
              <w:rPr>
                <w:sz w:val="22"/>
              </w:rPr>
              <w:t>. Zgodnie z </w:t>
            </w:r>
            <w:r w:rsidRPr="00AA0C1B">
              <w:rPr>
                <w:sz w:val="22"/>
              </w:rPr>
              <w:t xml:space="preserve">obowiązującym studium uwarunkowań i kierunków </w:t>
            </w:r>
            <w:proofErr w:type="spellStart"/>
            <w:r w:rsidRPr="00AA0C1B">
              <w:rPr>
                <w:sz w:val="22"/>
              </w:rPr>
              <w:t>zagospo</w:t>
            </w:r>
            <w:r>
              <w:rPr>
                <w:sz w:val="22"/>
              </w:rPr>
              <w:t>-</w:t>
            </w:r>
            <w:r w:rsidRPr="00AA0C1B">
              <w:rPr>
                <w:sz w:val="22"/>
              </w:rPr>
              <w:t>darowania</w:t>
            </w:r>
            <w:proofErr w:type="spellEnd"/>
            <w:r w:rsidRPr="00AA0C1B">
              <w:rPr>
                <w:sz w:val="22"/>
              </w:rPr>
              <w:t xml:space="preserve"> przestrzennego (uchwała Rady </w:t>
            </w:r>
            <w:r w:rsidR="00B00264">
              <w:rPr>
                <w:sz w:val="22"/>
              </w:rPr>
              <w:t>Gminy i Miasta Warta</w:t>
            </w:r>
            <w:r w:rsidRPr="00AA0C1B">
              <w:rPr>
                <w:sz w:val="22"/>
              </w:rPr>
              <w:t xml:space="preserve"> nr X</w:t>
            </w:r>
            <w:r w:rsidR="00B00264">
              <w:rPr>
                <w:sz w:val="22"/>
              </w:rPr>
              <w:t>XX</w:t>
            </w:r>
            <w:r w:rsidRPr="00AA0C1B">
              <w:rPr>
                <w:sz w:val="22"/>
              </w:rPr>
              <w:t>IX/</w:t>
            </w:r>
            <w:r w:rsidR="00B00264">
              <w:rPr>
                <w:sz w:val="22"/>
              </w:rPr>
              <w:t>212</w:t>
            </w:r>
            <w:r w:rsidRPr="00AA0C1B">
              <w:rPr>
                <w:sz w:val="22"/>
              </w:rPr>
              <w:t>/</w:t>
            </w:r>
            <w:r w:rsidR="00B00264">
              <w:rPr>
                <w:sz w:val="22"/>
              </w:rPr>
              <w:t>2009</w:t>
            </w:r>
            <w:r w:rsidRPr="00AA0C1B">
              <w:rPr>
                <w:sz w:val="22"/>
              </w:rPr>
              <w:t xml:space="preserve"> z dn. 27. 0</w:t>
            </w:r>
            <w:r w:rsidR="00B00264">
              <w:rPr>
                <w:sz w:val="22"/>
              </w:rPr>
              <w:t>5</w:t>
            </w:r>
            <w:r w:rsidRPr="00AA0C1B">
              <w:rPr>
                <w:sz w:val="22"/>
              </w:rPr>
              <w:t>. 200</w:t>
            </w:r>
            <w:r w:rsidR="00B00264">
              <w:rPr>
                <w:sz w:val="22"/>
              </w:rPr>
              <w:t>9</w:t>
            </w:r>
            <w:r w:rsidRPr="00AA0C1B">
              <w:rPr>
                <w:sz w:val="22"/>
              </w:rPr>
              <w:t> r.) jest to teren</w:t>
            </w:r>
            <w:r w:rsidR="00B00264">
              <w:rPr>
                <w:sz w:val="22"/>
              </w:rPr>
              <w:t xml:space="preserve"> przezn</w:t>
            </w:r>
            <w:r w:rsidR="00E7615C">
              <w:rPr>
                <w:sz w:val="22"/>
              </w:rPr>
              <w:t>aczony pod zabudowę mieszkaniową</w:t>
            </w:r>
            <w:r w:rsidR="00B00264">
              <w:rPr>
                <w:sz w:val="22"/>
              </w:rPr>
              <w:t xml:space="preserve"> wielorodzinną</w:t>
            </w:r>
            <w:r w:rsidRPr="00AA0C1B">
              <w:rPr>
                <w:sz w:val="22"/>
              </w:rPr>
              <w:t xml:space="preserve">. 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C20098" w:rsidRPr="00AA0C1B" w:rsidRDefault="00F91044" w:rsidP="0062514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70.000</w:t>
            </w:r>
          </w:p>
        </w:tc>
      </w:tr>
      <w:tr w:rsidR="00F91044" w:rsidRPr="00675941" w:rsidTr="00285191">
        <w:trPr>
          <w:trHeight w:val="2400"/>
          <w:jc w:val="center"/>
        </w:trPr>
        <w:tc>
          <w:tcPr>
            <w:tcW w:w="60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91044" w:rsidRDefault="00F91044" w:rsidP="00625140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2</w:t>
            </w:r>
          </w:p>
        </w:tc>
        <w:tc>
          <w:tcPr>
            <w:tcW w:w="3890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91044" w:rsidRDefault="00F91044" w:rsidP="00625140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Samodzielne lokale użytkowe oznaczone numerami 5 i 6, usytuowane w budynku posadowionym na działce nr 343/2, w</w:t>
            </w:r>
            <w:r w:rsidR="008059EF">
              <w:rPr>
                <w:sz w:val="22"/>
              </w:rPr>
              <w:t>chodzącej w skład nieruchomości</w:t>
            </w:r>
            <w:r>
              <w:rPr>
                <w:sz w:val="22"/>
              </w:rPr>
              <w:t xml:space="preserve"> położonej w Rawie Mazowieckiej, przy ul. Jeżowskiej 10, dla której Sąd Rejonowy w Skierniewicach XI Zamiejscowy Wydział Ksiąg Wieczystych w Rawie Mazowieckiej </w:t>
            </w:r>
            <w:r w:rsidRPr="007B5AE0">
              <w:rPr>
                <w:sz w:val="22"/>
              </w:rPr>
              <w:t>prowadzi księgę wieczystą nr </w:t>
            </w:r>
            <w:r>
              <w:rPr>
                <w:sz w:val="22"/>
              </w:rPr>
              <w:t>LD</w:t>
            </w:r>
            <w:r w:rsidRPr="007B5AE0">
              <w:rPr>
                <w:sz w:val="22"/>
                <w:szCs w:val="26"/>
              </w:rPr>
              <w:t>1</w:t>
            </w:r>
            <w:r>
              <w:rPr>
                <w:sz w:val="22"/>
                <w:szCs w:val="26"/>
              </w:rPr>
              <w:t>R</w:t>
            </w:r>
            <w:r w:rsidRPr="007B5AE0">
              <w:rPr>
                <w:sz w:val="22"/>
                <w:szCs w:val="26"/>
              </w:rPr>
              <w:t>/0000</w:t>
            </w:r>
            <w:r>
              <w:rPr>
                <w:sz w:val="22"/>
                <w:szCs w:val="26"/>
              </w:rPr>
              <w:t>4483</w:t>
            </w:r>
            <w:r w:rsidRPr="007B5AE0">
              <w:rPr>
                <w:sz w:val="22"/>
                <w:szCs w:val="26"/>
              </w:rPr>
              <w:t>/</w:t>
            </w:r>
            <w:r>
              <w:rPr>
                <w:sz w:val="22"/>
                <w:szCs w:val="26"/>
              </w:rPr>
              <w:t>5</w:t>
            </w:r>
            <w:r w:rsidRPr="007B5AE0">
              <w:rPr>
                <w:sz w:val="22"/>
              </w:rPr>
              <w:t>.</w:t>
            </w:r>
          </w:p>
          <w:p w:rsidR="00F91044" w:rsidRDefault="00F91044" w:rsidP="00625140">
            <w:pPr>
              <w:ind w:firstLine="375"/>
              <w:rPr>
                <w:sz w:val="22"/>
              </w:rPr>
            </w:pPr>
            <w:r>
              <w:rPr>
                <w:sz w:val="22"/>
                <w:szCs w:val="26"/>
              </w:rPr>
              <w:t>Własność Województwa Łódzkiego.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91044" w:rsidRDefault="00F91044" w:rsidP="006251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15,59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481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91044" w:rsidRDefault="00F91044" w:rsidP="00A257D9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Są to dwa garaże usytuowane w budynku garażowym, mieszczącym ponadto jeszcze dwa boksy garażowe. </w:t>
            </w:r>
            <w:r w:rsidR="00285191">
              <w:rPr>
                <w:sz w:val="22"/>
              </w:rPr>
              <w:t>Budynek posiada instalację elektryczną.</w:t>
            </w:r>
          </w:p>
          <w:p w:rsidR="00F91044" w:rsidRDefault="00F91044" w:rsidP="00A257D9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Z każdym z lokali związany jest udział we współwłasności nieruchomości w wysokości 1559/34143 części.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91044" w:rsidRPr="0078251C" w:rsidRDefault="00F91044" w:rsidP="00F91044">
            <w:pPr>
              <w:ind w:firstLine="48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Zgodnie z miejscowym planem </w:t>
            </w:r>
            <w:r w:rsidRPr="0078251C">
              <w:rPr>
                <w:sz w:val="22"/>
                <w:szCs w:val="26"/>
              </w:rPr>
              <w:t>zagospo</w:t>
            </w:r>
            <w:r w:rsidR="008059EF">
              <w:rPr>
                <w:sz w:val="22"/>
                <w:szCs w:val="26"/>
              </w:rPr>
              <w:t>darowania przestrzennego</w:t>
            </w:r>
            <w:r w:rsidRPr="0078251C">
              <w:rPr>
                <w:sz w:val="22"/>
                <w:szCs w:val="26"/>
              </w:rPr>
              <w:t xml:space="preserve"> </w:t>
            </w:r>
            <w:r>
              <w:rPr>
                <w:sz w:val="22"/>
              </w:rPr>
              <w:t xml:space="preserve">(uchwała Rady Miejskiej w  Rawie Mazowieckiej </w:t>
            </w:r>
            <w:r w:rsidRPr="00AA0C1B">
              <w:rPr>
                <w:sz w:val="22"/>
              </w:rPr>
              <w:t xml:space="preserve">nr </w:t>
            </w:r>
            <w:r>
              <w:rPr>
                <w:sz w:val="22"/>
              </w:rPr>
              <w:t>X</w:t>
            </w:r>
            <w:r w:rsidRPr="00AA0C1B">
              <w:rPr>
                <w:sz w:val="22"/>
              </w:rPr>
              <w:t>XI/</w:t>
            </w:r>
            <w:r>
              <w:rPr>
                <w:sz w:val="22"/>
              </w:rPr>
              <w:t>159</w:t>
            </w:r>
            <w:r w:rsidRPr="00AA0C1B">
              <w:rPr>
                <w:sz w:val="22"/>
              </w:rPr>
              <w:t>/</w:t>
            </w:r>
            <w:r>
              <w:rPr>
                <w:sz w:val="22"/>
              </w:rPr>
              <w:t>2000</w:t>
            </w:r>
            <w:r w:rsidRPr="00AA0C1B">
              <w:rPr>
                <w:sz w:val="22"/>
              </w:rPr>
              <w:t xml:space="preserve"> z dn. </w:t>
            </w:r>
            <w:r>
              <w:rPr>
                <w:sz w:val="22"/>
              </w:rPr>
              <w:t>30</w:t>
            </w:r>
            <w:r w:rsidRPr="00AA0C1B">
              <w:rPr>
                <w:sz w:val="22"/>
              </w:rPr>
              <w:t>. </w:t>
            </w:r>
            <w:r>
              <w:rPr>
                <w:sz w:val="22"/>
              </w:rPr>
              <w:t>03</w:t>
            </w:r>
            <w:r w:rsidRPr="00AA0C1B">
              <w:rPr>
                <w:sz w:val="22"/>
              </w:rPr>
              <w:t>. 20</w:t>
            </w:r>
            <w:r>
              <w:rPr>
                <w:sz w:val="22"/>
              </w:rPr>
              <w:t>00</w:t>
            </w:r>
            <w:r w:rsidRPr="00AA0C1B">
              <w:rPr>
                <w:sz w:val="22"/>
              </w:rPr>
              <w:t> r.)</w:t>
            </w:r>
            <w:r>
              <w:rPr>
                <w:sz w:val="22"/>
              </w:rPr>
              <w:t xml:space="preserve"> </w:t>
            </w:r>
            <w:r w:rsidRPr="0078251C">
              <w:rPr>
                <w:sz w:val="22"/>
                <w:szCs w:val="26"/>
              </w:rPr>
              <w:t>nieruchomość położona jest n</w:t>
            </w:r>
            <w:r>
              <w:rPr>
                <w:sz w:val="22"/>
                <w:szCs w:val="26"/>
              </w:rPr>
              <w:t>a terenach zabudowy mieszkaniowo-usługowej</w:t>
            </w:r>
            <w:r w:rsidRPr="0078251C">
              <w:rPr>
                <w:sz w:val="22"/>
                <w:szCs w:val="26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F91044" w:rsidRDefault="00F91044" w:rsidP="0062514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25.000</w:t>
            </w:r>
          </w:p>
        </w:tc>
      </w:tr>
      <w:tr w:rsidR="00F91044" w:rsidRPr="00675941" w:rsidTr="00F91044">
        <w:trPr>
          <w:trHeight w:val="2397"/>
          <w:jc w:val="center"/>
        </w:trPr>
        <w:tc>
          <w:tcPr>
            <w:tcW w:w="605" w:type="dxa"/>
            <w:tcBorders>
              <w:top w:val="single" w:sz="4" w:space="0" w:color="000000" w:themeColor="text1"/>
              <w:bottom w:val="single" w:sz="12" w:space="0" w:color="00B050"/>
            </w:tcBorders>
            <w:vAlign w:val="center"/>
          </w:tcPr>
          <w:p w:rsidR="00F91044" w:rsidRDefault="00F91044" w:rsidP="00625140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3890" w:type="dxa"/>
            <w:vMerge/>
            <w:tcBorders>
              <w:bottom w:val="single" w:sz="12" w:space="0" w:color="00B050"/>
            </w:tcBorders>
            <w:vAlign w:val="center"/>
          </w:tcPr>
          <w:p w:rsidR="00F91044" w:rsidRPr="00AA0C1B" w:rsidRDefault="00F91044" w:rsidP="00625140">
            <w:pPr>
              <w:ind w:firstLine="375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00B050"/>
            </w:tcBorders>
            <w:vAlign w:val="center"/>
          </w:tcPr>
          <w:p w:rsidR="00F91044" w:rsidRPr="00625140" w:rsidRDefault="00F91044" w:rsidP="006251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15,59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4819" w:type="dxa"/>
            <w:vMerge/>
            <w:tcBorders>
              <w:bottom w:val="single" w:sz="12" w:space="0" w:color="00B050"/>
            </w:tcBorders>
            <w:vAlign w:val="center"/>
          </w:tcPr>
          <w:p w:rsidR="00F91044" w:rsidRPr="00AA0C1B" w:rsidRDefault="00F91044" w:rsidP="00625140">
            <w:pPr>
              <w:ind w:firstLine="484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bottom w:val="single" w:sz="12" w:space="0" w:color="00B050"/>
            </w:tcBorders>
            <w:vAlign w:val="center"/>
          </w:tcPr>
          <w:p w:rsidR="00F91044" w:rsidRPr="00AA0C1B" w:rsidRDefault="00F91044" w:rsidP="00625140">
            <w:pPr>
              <w:ind w:firstLine="484"/>
              <w:rPr>
                <w:sz w:val="22"/>
              </w:rPr>
            </w:pPr>
          </w:p>
        </w:tc>
        <w:tc>
          <w:tcPr>
            <w:tcW w:w="1234" w:type="dxa"/>
            <w:tcBorders>
              <w:bottom w:val="single" w:sz="12" w:space="0" w:color="00B050"/>
            </w:tcBorders>
            <w:vAlign w:val="center"/>
          </w:tcPr>
          <w:p w:rsidR="00F91044" w:rsidRPr="00AA0C1B" w:rsidRDefault="00F91044" w:rsidP="0062514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25.000</w:t>
            </w:r>
          </w:p>
        </w:tc>
      </w:tr>
    </w:tbl>
    <w:p w:rsidR="00C20098" w:rsidRPr="00144449" w:rsidRDefault="00C20098" w:rsidP="00C20098">
      <w:pPr>
        <w:jc w:val="center"/>
        <w:rPr>
          <w:b/>
          <w:sz w:val="16"/>
          <w:szCs w:val="24"/>
        </w:rPr>
      </w:pPr>
    </w:p>
    <w:p w:rsidR="00C20098" w:rsidRDefault="00C20098" w:rsidP="00C20098">
      <w:pPr>
        <w:jc w:val="center"/>
        <w:rPr>
          <w:b/>
          <w:szCs w:val="24"/>
        </w:rPr>
      </w:pPr>
    </w:p>
    <w:p w:rsidR="00C20098" w:rsidRDefault="00C20098" w:rsidP="00C20098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285191">
        <w:rPr>
          <w:b/>
          <w:szCs w:val="24"/>
        </w:rPr>
        <w:t>1</w:t>
      </w:r>
      <w:r>
        <w:rPr>
          <w:b/>
          <w:szCs w:val="24"/>
        </w:rPr>
        <w:t xml:space="preserve">6 </w:t>
      </w:r>
      <w:r w:rsidR="00E7615C">
        <w:rPr>
          <w:b/>
          <w:szCs w:val="24"/>
        </w:rPr>
        <w:t xml:space="preserve">września </w:t>
      </w:r>
      <w:r>
        <w:rPr>
          <w:b/>
          <w:szCs w:val="24"/>
        </w:rPr>
        <w:t xml:space="preserve">do </w:t>
      </w:r>
      <w:r w:rsidR="00E7615C">
        <w:rPr>
          <w:b/>
          <w:szCs w:val="24"/>
        </w:rPr>
        <w:t>7 października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14</w:t>
      </w:r>
      <w:r w:rsidRPr="0081648B">
        <w:rPr>
          <w:b/>
          <w:szCs w:val="24"/>
        </w:rPr>
        <w:t xml:space="preserve"> roku.</w:t>
      </w:r>
    </w:p>
    <w:p w:rsidR="00C20098" w:rsidRDefault="00C20098" w:rsidP="00C200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C20098" w:rsidRDefault="00C20098" w:rsidP="00C200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art. 34., ust. 1., </w:t>
      </w:r>
      <w:proofErr w:type="spellStart"/>
      <w:r>
        <w:rPr>
          <w:b/>
          <w:sz w:val="24"/>
          <w:szCs w:val="24"/>
        </w:rPr>
        <w:t>pkt</w:t>
      </w:r>
      <w:proofErr w:type="spellEnd"/>
      <w:r>
        <w:rPr>
          <w:b/>
          <w:sz w:val="24"/>
          <w:szCs w:val="24"/>
        </w:rPr>
        <w:t xml:space="preserve"> 1 i 2 ustawy </w:t>
      </w:r>
      <w:r w:rsidRPr="00C332B1">
        <w:rPr>
          <w:b/>
          <w:i/>
          <w:sz w:val="24"/>
          <w:szCs w:val="24"/>
        </w:rPr>
        <w:t>o gospodarce nieruchomościami</w:t>
      </w:r>
      <w:r>
        <w:rPr>
          <w:b/>
          <w:sz w:val="24"/>
          <w:szCs w:val="24"/>
        </w:rPr>
        <w:t xml:space="preserve">, </w:t>
      </w:r>
    </w:p>
    <w:p w:rsidR="00C20098" w:rsidRDefault="00C20098" w:rsidP="00C200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upływa dnia </w:t>
      </w:r>
      <w:r w:rsidR="00285191">
        <w:rPr>
          <w:b/>
          <w:sz w:val="24"/>
          <w:szCs w:val="24"/>
        </w:rPr>
        <w:t>2</w:t>
      </w:r>
      <w:r w:rsidR="00E7615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="00285191">
        <w:rPr>
          <w:b/>
          <w:sz w:val="24"/>
          <w:szCs w:val="24"/>
        </w:rPr>
        <w:t xml:space="preserve">października </w:t>
      </w:r>
      <w:r>
        <w:rPr>
          <w:b/>
          <w:sz w:val="24"/>
          <w:szCs w:val="24"/>
        </w:rPr>
        <w:t>2014 roku.</w:t>
      </w:r>
    </w:p>
    <w:p w:rsidR="00C20098" w:rsidRPr="000A56C3" w:rsidRDefault="00C20098" w:rsidP="00C20098">
      <w:pPr>
        <w:jc w:val="center"/>
        <w:rPr>
          <w:b/>
          <w:sz w:val="16"/>
          <w:szCs w:val="24"/>
        </w:rPr>
      </w:pPr>
    </w:p>
    <w:p w:rsidR="00C20098" w:rsidRPr="00851F8F" w:rsidRDefault="00C20098" w:rsidP="00C20098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 xml:space="preserve">, pok. 104,  tel. 042 205-58-71; </w:t>
      </w:r>
      <w:r w:rsidRPr="001240F8">
        <w:rPr>
          <w:b/>
          <w:sz w:val="26"/>
          <w:szCs w:val="24"/>
        </w:rPr>
        <w:t>wewnętrzny 1</w:t>
      </w:r>
      <w:r>
        <w:rPr>
          <w:b/>
          <w:sz w:val="26"/>
          <w:szCs w:val="24"/>
        </w:rPr>
        <w:t>33</w:t>
      </w:r>
      <w:r w:rsidRPr="001240F8">
        <w:rPr>
          <w:b/>
          <w:sz w:val="26"/>
          <w:szCs w:val="24"/>
        </w:rPr>
        <w:t>.</w:t>
      </w:r>
    </w:p>
    <w:p w:rsidR="00C20098" w:rsidRDefault="00C20098" w:rsidP="00C20098"/>
    <w:p w:rsidR="00C20098" w:rsidRDefault="00C20098" w:rsidP="00C20098"/>
    <w:p w:rsidR="000A4925" w:rsidRDefault="000A4925"/>
    <w:sectPr w:rsidR="000A4925" w:rsidSect="00625140">
      <w:footerReference w:type="default" r:id="rId6"/>
      <w:pgSz w:w="16838" w:h="11906" w:orient="landscape"/>
      <w:pgMar w:top="993" w:right="678" w:bottom="567" w:left="709" w:header="426" w:footer="3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50B" w:rsidRDefault="008C750B" w:rsidP="000501E3">
      <w:pPr>
        <w:spacing w:line="240" w:lineRule="auto"/>
      </w:pPr>
      <w:r>
        <w:separator/>
      </w:r>
    </w:p>
  </w:endnote>
  <w:endnote w:type="continuationSeparator" w:id="0">
    <w:p w:rsidR="008C750B" w:rsidRDefault="008C750B" w:rsidP="00050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625140" w:rsidRPr="00671A8F" w:rsidRDefault="00625140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0501E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0501E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7615C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0501E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0501E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0501E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7615C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0501E3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50B" w:rsidRDefault="008C750B" w:rsidP="000501E3">
      <w:pPr>
        <w:spacing w:line="240" w:lineRule="auto"/>
      </w:pPr>
      <w:r>
        <w:separator/>
      </w:r>
    </w:p>
  </w:footnote>
  <w:footnote w:type="continuationSeparator" w:id="0">
    <w:p w:rsidR="008C750B" w:rsidRDefault="008C750B" w:rsidP="000501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098"/>
    <w:rsid w:val="00004CB0"/>
    <w:rsid w:val="000501E3"/>
    <w:rsid w:val="000A4925"/>
    <w:rsid w:val="001E013B"/>
    <w:rsid w:val="0025048D"/>
    <w:rsid w:val="00285191"/>
    <w:rsid w:val="00424A27"/>
    <w:rsid w:val="00601C76"/>
    <w:rsid w:val="00621B7E"/>
    <w:rsid w:val="00625140"/>
    <w:rsid w:val="0069575E"/>
    <w:rsid w:val="00794312"/>
    <w:rsid w:val="008059EF"/>
    <w:rsid w:val="008C750B"/>
    <w:rsid w:val="00957BA2"/>
    <w:rsid w:val="009A6667"/>
    <w:rsid w:val="009C6CA9"/>
    <w:rsid w:val="00A257D9"/>
    <w:rsid w:val="00A52164"/>
    <w:rsid w:val="00B00264"/>
    <w:rsid w:val="00C20098"/>
    <w:rsid w:val="00E25737"/>
    <w:rsid w:val="00E7615C"/>
    <w:rsid w:val="00F80A3A"/>
    <w:rsid w:val="00F84C2F"/>
    <w:rsid w:val="00F9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098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0098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200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09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2014-09-11T06:26:00Z</cp:lastPrinted>
  <dcterms:created xsi:type="dcterms:W3CDTF">2014-09-10T10:05:00Z</dcterms:created>
  <dcterms:modified xsi:type="dcterms:W3CDTF">2014-09-11T06:37:00Z</dcterms:modified>
</cp:coreProperties>
</file>