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887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603"/>
        <w:gridCol w:w="1134"/>
        <w:gridCol w:w="3826"/>
        <w:gridCol w:w="3658"/>
        <w:gridCol w:w="1061"/>
      </w:tblGrid>
      <w:tr w:rsidR="004C13A9" w:rsidRPr="004C1967" w:rsidTr="00DA151B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603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801A6" w:rsidRPr="00C20098" w:rsidRDefault="00A801A6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A801A6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801A6" w:rsidRPr="00C20098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826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658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A801A6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801A6" w:rsidRPr="00675941" w:rsidTr="00DA151B">
        <w:trPr>
          <w:trHeight w:val="3755"/>
          <w:jc w:val="center"/>
        </w:trPr>
        <w:tc>
          <w:tcPr>
            <w:tcW w:w="605" w:type="dxa"/>
            <w:tcBorders>
              <w:left w:val="single" w:sz="12" w:space="0" w:color="00E200"/>
              <w:bottom w:val="single" w:sz="12" w:space="0" w:color="00E200"/>
              <w:right w:val="single" w:sz="4" w:space="0" w:color="auto"/>
            </w:tcBorders>
            <w:vAlign w:val="center"/>
          </w:tcPr>
          <w:p w:rsidR="00A801A6" w:rsidRPr="00AA0C1B" w:rsidRDefault="00A801A6" w:rsidP="00A9482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603" w:type="dxa"/>
            <w:tcBorders>
              <w:left w:val="single" w:sz="4" w:space="0" w:color="auto"/>
            </w:tcBorders>
            <w:vAlign w:val="center"/>
          </w:tcPr>
          <w:p w:rsidR="00A801A6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gruntowa zabudowana, położona w </w:t>
            </w:r>
            <w:r w:rsidR="00E35D48">
              <w:rPr>
                <w:sz w:val="22"/>
              </w:rPr>
              <w:t>Tuszynie</w:t>
            </w:r>
            <w:r>
              <w:rPr>
                <w:sz w:val="22"/>
              </w:rPr>
              <w:t>, przy ul. </w:t>
            </w:r>
            <w:r w:rsidR="00E35D48">
              <w:rPr>
                <w:sz w:val="22"/>
              </w:rPr>
              <w:t>Szpitalnej 5</w:t>
            </w:r>
            <w:r>
              <w:rPr>
                <w:sz w:val="22"/>
              </w:rPr>
              <w:t>, oznaczona w rejestrze gruntów jako działka nr </w:t>
            </w:r>
            <w:r w:rsidR="00E35D48">
              <w:rPr>
                <w:sz w:val="22"/>
              </w:rPr>
              <w:t>12/10</w:t>
            </w:r>
            <w:r>
              <w:rPr>
                <w:sz w:val="22"/>
              </w:rPr>
              <w:t xml:space="preserve"> w obrębie </w:t>
            </w:r>
            <w:r w:rsidR="00E35D48">
              <w:rPr>
                <w:sz w:val="22"/>
              </w:rPr>
              <w:t>16, dla której Sąd Rejonowy w Piotrkowie Trybunalskim, VI Wydział Ksiąg Wieczystych</w:t>
            </w:r>
            <w:r>
              <w:rPr>
                <w:sz w:val="22"/>
              </w:rPr>
              <w:t xml:space="preserve"> prowadzi księgę wieczystą nr </w:t>
            </w:r>
            <w:r w:rsidR="00E35D48">
              <w:rPr>
                <w:sz w:val="22"/>
              </w:rPr>
              <w:t>PT1P</w:t>
            </w:r>
            <w:r>
              <w:rPr>
                <w:sz w:val="22"/>
              </w:rPr>
              <w:t>/00</w:t>
            </w:r>
            <w:r w:rsidR="00E35D48">
              <w:rPr>
                <w:sz w:val="22"/>
              </w:rPr>
              <w:t>099378</w:t>
            </w:r>
            <w:r>
              <w:rPr>
                <w:sz w:val="22"/>
              </w:rPr>
              <w:t>/</w:t>
            </w:r>
            <w:r w:rsidR="00E35D48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  <w:p w:rsidR="00A801A6" w:rsidRPr="00AA0C1B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134" w:type="dxa"/>
            <w:vAlign w:val="center"/>
          </w:tcPr>
          <w:p w:rsidR="00A801A6" w:rsidRPr="00625140" w:rsidRDefault="004131C6" w:rsidP="00A801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1,6102</w:t>
            </w:r>
            <w:r w:rsidR="00A801A6">
              <w:rPr>
                <w:sz w:val="22"/>
              </w:rPr>
              <w:t xml:space="preserve"> </w:t>
            </w:r>
          </w:p>
        </w:tc>
        <w:tc>
          <w:tcPr>
            <w:tcW w:w="3826" w:type="dxa"/>
            <w:vAlign w:val="center"/>
          </w:tcPr>
          <w:p w:rsidR="00A801A6" w:rsidRDefault="00A801A6" w:rsidP="00403D6F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</w:t>
            </w:r>
            <w:r w:rsidR="00F7331E">
              <w:rPr>
                <w:sz w:val="22"/>
              </w:rPr>
              <w:t>nieruchomości</w:t>
            </w:r>
            <w:r>
              <w:rPr>
                <w:sz w:val="22"/>
              </w:rPr>
              <w:t xml:space="preserve"> posadowione są </w:t>
            </w:r>
            <w:r w:rsidR="009075D0">
              <w:rPr>
                <w:sz w:val="22"/>
              </w:rPr>
              <w:t xml:space="preserve">dwa </w:t>
            </w:r>
            <w:r>
              <w:rPr>
                <w:sz w:val="22"/>
              </w:rPr>
              <w:t>budynki</w:t>
            </w:r>
            <w:r w:rsidR="00403D6F">
              <w:rPr>
                <w:sz w:val="22"/>
              </w:rPr>
              <w:t xml:space="preserve"> poszpitalne, obecnie ni</w:t>
            </w:r>
            <w:r w:rsidR="00184D47">
              <w:rPr>
                <w:sz w:val="22"/>
              </w:rPr>
              <w:t>e</w:t>
            </w:r>
            <w:r w:rsidR="00403D6F">
              <w:rPr>
                <w:sz w:val="22"/>
              </w:rPr>
              <w:t>użytkowane:</w:t>
            </w:r>
            <w:r w:rsidR="009075D0">
              <w:rPr>
                <w:sz w:val="22"/>
              </w:rPr>
              <w:t xml:space="preserve"> </w:t>
            </w:r>
            <w:r w:rsidR="00403D6F">
              <w:rPr>
                <w:sz w:val="22"/>
              </w:rPr>
              <w:t>jednokondygnacyjny</w:t>
            </w:r>
            <w:r w:rsidR="009075D0">
              <w:rPr>
                <w:sz w:val="22"/>
              </w:rPr>
              <w:t xml:space="preserve">, </w:t>
            </w:r>
            <w:r w:rsidR="00403D6F">
              <w:rPr>
                <w:sz w:val="22"/>
              </w:rPr>
              <w:t xml:space="preserve">częściowo </w:t>
            </w:r>
            <w:r w:rsidR="009075D0">
              <w:rPr>
                <w:sz w:val="22"/>
              </w:rPr>
              <w:t>podpiwniczony o </w:t>
            </w:r>
            <w:r>
              <w:rPr>
                <w:sz w:val="22"/>
              </w:rPr>
              <w:t>powierzchni użytkowej</w:t>
            </w:r>
            <w:r w:rsidR="00414F8F">
              <w:rPr>
                <w:sz w:val="22"/>
              </w:rPr>
              <w:t xml:space="preserve">, zgodnie z Książką Obiektu Budowlanego, </w:t>
            </w:r>
            <w:r>
              <w:rPr>
                <w:sz w:val="22"/>
              </w:rPr>
              <w:t xml:space="preserve"> </w:t>
            </w:r>
            <w:r w:rsidR="00414F8F">
              <w:rPr>
                <w:sz w:val="22"/>
              </w:rPr>
              <w:t>924,68 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 w:rsidR="009075D0">
              <w:rPr>
                <w:sz w:val="22"/>
              </w:rPr>
              <w:t>,</w:t>
            </w:r>
            <w:r w:rsidR="00B67374">
              <w:rPr>
                <w:sz w:val="22"/>
              </w:rPr>
              <w:t xml:space="preserve"> wpisany do Gminnej Ewidencji Zabytków,</w:t>
            </w:r>
            <w:r w:rsidR="00403D6F">
              <w:rPr>
                <w:sz w:val="22"/>
              </w:rPr>
              <w:t xml:space="preserve"> w</w:t>
            </w:r>
            <w:r w:rsidR="00184D47">
              <w:rPr>
                <w:sz w:val="22"/>
              </w:rPr>
              <w:t> </w:t>
            </w:r>
            <w:r w:rsidR="00403D6F">
              <w:rPr>
                <w:sz w:val="22"/>
              </w:rPr>
              <w:t>którym mieścił się jeden z pawilonów</w:t>
            </w:r>
            <w:r w:rsidR="00184D47">
              <w:rPr>
                <w:sz w:val="22"/>
              </w:rPr>
              <w:t xml:space="preserve"> pobliskiego</w:t>
            </w:r>
            <w:r w:rsidR="00403D6F">
              <w:rPr>
                <w:sz w:val="22"/>
              </w:rPr>
              <w:t xml:space="preserve"> szpitala</w:t>
            </w:r>
            <w:r w:rsidR="009075D0">
              <w:rPr>
                <w:sz w:val="22"/>
              </w:rPr>
              <w:t xml:space="preserve"> oraz parterowy o powierzchni </w:t>
            </w:r>
            <w:r w:rsidR="00184D47">
              <w:rPr>
                <w:sz w:val="22"/>
              </w:rPr>
              <w:t xml:space="preserve">zabudowy </w:t>
            </w:r>
            <w:r w:rsidR="00403D6F">
              <w:rPr>
                <w:sz w:val="22"/>
              </w:rPr>
              <w:t>4</w:t>
            </w:r>
            <w:r w:rsidR="009075D0">
              <w:rPr>
                <w:sz w:val="22"/>
              </w:rPr>
              <w:t>m</w:t>
            </w:r>
            <w:r w:rsidR="009075D0">
              <w:rPr>
                <w:sz w:val="22"/>
                <w:vertAlign w:val="superscript"/>
              </w:rPr>
              <w:t>2</w:t>
            </w:r>
            <w:r w:rsidR="00403D6F">
              <w:rPr>
                <w:sz w:val="22"/>
              </w:rPr>
              <w:t>, stanowiący dawny magazyn odpadów</w:t>
            </w:r>
            <w:r w:rsidR="009075D0">
              <w:rPr>
                <w:sz w:val="22"/>
              </w:rPr>
              <w:t xml:space="preserve">. </w:t>
            </w:r>
          </w:p>
          <w:p w:rsidR="00184D47" w:rsidRDefault="00414F8F" w:rsidP="00403D6F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Budynek wyposażony w oddzielną instalacje elektryczną, natomiast instalacja wodno-kanalizacyjna przyłączona jest do sieci pobliskiego szpitala.</w:t>
            </w:r>
          </w:p>
          <w:p w:rsidR="00414F8F" w:rsidRPr="009524B0" w:rsidRDefault="00414F8F" w:rsidP="00403D6F">
            <w:pPr>
              <w:ind w:firstLine="484"/>
              <w:rPr>
                <w:sz w:val="22"/>
              </w:rPr>
            </w:pPr>
          </w:p>
        </w:tc>
        <w:tc>
          <w:tcPr>
            <w:tcW w:w="3658" w:type="dxa"/>
            <w:vAlign w:val="center"/>
          </w:tcPr>
          <w:p w:rsidR="00A801A6" w:rsidRPr="00AA0C1B" w:rsidRDefault="00184D47" w:rsidP="00414F8F">
            <w:pPr>
              <w:ind w:firstLine="601"/>
              <w:rPr>
                <w:sz w:val="22"/>
              </w:rPr>
            </w:pPr>
            <w:r w:rsidRPr="00184D47">
              <w:rPr>
                <w:sz w:val="22"/>
              </w:rPr>
              <w:t xml:space="preserve">Zgodnie z obowiązującym </w:t>
            </w:r>
            <w:r w:rsidR="00A801A6">
              <w:rPr>
                <w:sz w:val="22"/>
              </w:rPr>
              <w:t>planem zagospodarowania przestrzennego</w:t>
            </w:r>
            <w:r>
              <w:rPr>
                <w:sz w:val="22"/>
              </w:rPr>
              <w:t xml:space="preserve"> gminy Tuszyn nieruchomość </w:t>
            </w:r>
            <w:r w:rsidR="00414F8F">
              <w:rPr>
                <w:sz w:val="22"/>
              </w:rPr>
              <w:t xml:space="preserve">jest oznaczona symbolem B12UZ – tereny usług zdrowia </w:t>
            </w:r>
            <w:r w:rsidR="00A801A6">
              <w:rPr>
                <w:sz w:val="22"/>
              </w:rPr>
              <w:t xml:space="preserve">(uchwała </w:t>
            </w:r>
            <w:r>
              <w:rPr>
                <w:sz w:val="22"/>
              </w:rPr>
              <w:t xml:space="preserve">nr XVIII/115/04 </w:t>
            </w:r>
            <w:r w:rsidR="00A801A6">
              <w:rPr>
                <w:sz w:val="22"/>
              </w:rPr>
              <w:t xml:space="preserve">Rady Miejskiej </w:t>
            </w:r>
            <w:r>
              <w:rPr>
                <w:sz w:val="22"/>
              </w:rPr>
              <w:t>w Tuszynie z dn. 18.06.2004 r.)</w:t>
            </w:r>
            <w:r w:rsidR="00B274EC">
              <w:rPr>
                <w:sz w:val="22"/>
              </w:rPr>
              <w:t>.</w:t>
            </w:r>
          </w:p>
        </w:tc>
        <w:tc>
          <w:tcPr>
            <w:tcW w:w="1061" w:type="dxa"/>
            <w:tcBorders>
              <w:bottom w:val="single" w:sz="12" w:space="0" w:color="00E200"/>
              <w:right w:val="single" w:sz="12" w:space="0" w:color="00E200"/>
            </w:tcBorders>
            <w:vAlign w:val="center"/>
          </w:tcPr>
          <w:p w:rsidR="00A801A6" w:rsidRPr="00F3081F" w:rsidRDefault="00184D47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676.000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B274EC">
        <w:rPr>
          <w:b/>
          <w:sz w:val="26"/>
          <w:szCs w:val="24"/>
        </w:rPr>
        <w:t>26 kwietnia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 xml:space="preserve">do </w:t>
      </w:r>
      <w:r w:rsidR="00B274EC">
        <w:rPr>
          <w:b/>
          <w:sz w:val="26"/>
          <w:szCs w:val="24"/>
        </w:rPr>
        <w:t>17 maja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B274EC">
        <w:rPr>
          <w:b/>
          <w:sz w:val="26"/>
          <w:szCs w:val="24"/>
        </w:rPr>
        <w:t>7 czerwca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p w:rsidR="00A801A6" w:rsidRDefault="00A801A6" w:rsidP="00A801A6"/>
    <w:sectPr w:rsidR="00A801A6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33" w:rsidRDefault="00687733" w:rsidP="0027454C">
      <w:pPr>
        <w:spacing w:line="240" w:lineRule="auto"/>
      </w:pPr>
      <w:r>
        <w:separator/>
      </w:r>
    </w:p>
  </w:endnote>
  <w:endnote w:type="continuationSeparator" w:id="0">
    <w:p w:rsidR="00687733" w:rsidRDefault="00687733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17D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17D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72AC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33" w:rsidRDefault="00687733" w:rsidP="0027454C">
      <w:pPr>
        <w:spacing w:line="240" w:lineRule="auto"/>
      </w:pPr>
      <w:r>
        <w:separator/>
      </w:r>
    </w:p>
  </w:footnote>
  <w:footnote w:type="continuationSeparator" w:id="0">
    <w:p w:rsidR="00687733" w:rsidRDefault="00687733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63CA6"/>
    <w:rsid w:val="000A4925"/>
    <w:rsid w:val="000C114C"/>
    <w:rsid w:val="000C5C13"/>
    <w:rsid w:val="00184D47"/>
    <w:rsid w:val="001E013B"/>
    <w:rsid w:val="00210FB7"/>
    <w:rsid w:val="0027454C"/>
    <w:rsid w:val="00367243"/>
    <w:rsid w:val="00403D6F"/>
    <w:rsid w:val="004131C6"/>
    <w:rsid w:val="00414F8F"/>
    <w:rsid w:val="004C13A9"/>
    <w:rsid w:val="004C1928"/>
    <w:rsid w:val="00512E35"/>
    <w:rsid w:val="00530C2D"/>
    <w:rsid w:val="00546AB1"/>
    <w:rsid w:val="00572ACE"/>
    <w:rsid w:val="005876EC"/>
    <w:rsid w:val="005A5B81"/>
    <w:rsid w:val="005C4768"/>
    <w:rsid w:val="005D3047"/>
    <w:rsid w:val="00601C76"/>
    <w:rsid w:val="006103E2"/>
    <w:rsid w:val="00621B7E"/>
    <w:rsid w:val="00687733"/>
    <w:rsid w:val="006C5353"/>
    <w:rsid w:val="006D5ED0"/>
    <w:rsid w:val="00703A49"/>
    <w:rsid w:val="00704F22"/>
    <w:rsid w:val="00771C06"/>
    <w:rsid w:val="00794312"/>
    <w:rsid w:val="008160D2"/>
    <w:rsid w:val="008752E4"/>
    <w:rsid w:val="008956AE"/>
    <w:rsid w:val="008B56D9"/>
    <w:rsid w:val="009075D0"/>
    <w:rsid w:val="00914E86"/>
    <w:rsid w:val="009217ED"/>
    <w:rsid w:val="009A6667"/>
    <w:rsid w:val="009C6CA9"/>
    <w:rsid w:val="009F7F23"/>
    <w:rsid w:val="00A52164"/>
    <w:rsid w:val="00A801A6"/>
    <w:rsid w:val="00B17DA6"/>
    <w:rsid w:val="00B274EC"/>
    <w:rsid w:val="00B67374"/>
    <w:rsid w:val="00D118BA"/>
    <w:rsid w:val="00DA151B"/>
    <w:rsid w:val="00DA78B1"/>
    <w:rsid w:val="00DD6840"/>
    <w:rsid w:val="00E25737"/>
    <w:rsid w:val="00E35D48"/>
    <w:rsid w:val="00EC2FEF"/>
    <w:rsid w:val="00F12580"/>
    <w:rsid w:val="00F63F79"/>
    <w:rsid w:val="00F65472"/>
    <w:rsid w:val="00F7331E"/>
    <w:rsid w:val="00F84C2F"/>
    <w:rsid w:val="00F9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17</cp:revision>
  <cp:lastPrinted>2016-04-18T07:41:00Z</cp:lastPrinted>
  <dcterms:created xsi:type="dcterms:W3CDTF">2015-09-24T08:07:00Z</dcterms:created>
  <dcterms:modified xsi:type="dcterms:W3CDTF">2016-04-18T07:43:00Z</dcterms:modified>
</cp:coreProperties>
</file>