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7D" w:rsidRDefault="008C277D" w:rsidP="008C277D">
      <w:pPr>
        <w:pStyle w:val="Tytu"/>
        <w:outlineLvl w:val="0"/>
      </w:pPr>
    </w:p>
    <w:p w:rsidR="008C277D" w:rsidRPr="001269AC" w:rsidRDefault="008C277D" w:rsidP="008C277D">
      <w:pPr>
        <w:pStyle w:val="Tytu"/>
        <w:outlineLvl w:val="0"/>
      </w:pPr>
      <w:r w:rsidRPr="001269AC">
        <w:t>ZARZĄD NIERUCHOMOŚCI WOJEWÓDZTWA ŁÓDZKIEGO</w:t>
      </w:r>
    </w:p>
    <w:p w:rsidR="008C277D" w:rsidRPr="001269AC" w:rsidRDefault="008C277D" w:rsidP="008C277D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8C277D" w:rsidRDefault="008C277D" w:rsidP="008C277D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8C277D" w:rsidRDefault="008C277D" w:rsidP="008C277D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8C277D" w:rsidRDefault="008C277D" w:rsidP="008C277D">
      <w:pPr>
        <w:jc w:val="center"/>
        <w:rPr>
          <w:b/>
          <w:bCs/>
        </w:rPr>
      </w:pPr>
      <w:r>
        <w:rPr>
          <w:b/>
          <w:bCs/>
          <w:szCs w:val="26"/>
        </w:rPr>
        <w:t>drugi 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8C277D" w:rsidRDefault="008C277D" w:rsidP="008C277D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 miejscowości Mierzyn 64A, gm. Rozprza</w:t>
      </w:r>
      <w:r>
        <w:rPr>
          <w:b/>
        </w:rPr>
        <w:t>,</w:t>
      </w:r>
    </w:p>
    <w:p w:rsidR="008C277D" w:rsidRPr="008C277D" w:rsidRDefault="008C277D" w:rsidP="008C277D">
      <w:pPr>
        <w:jc w:val="center"/>
        <w:rPr>
          <w:b/>
        </w:rPr>
      </w:pPr>
      <w:r w:rsidRPr="008C277D">
        <w:rPr>
          <w:b/>
          <w:szCs w:val="22"/>
        </w:rPr>
        <w:t xml:space="preserve">dla której przetarg I odbył się </w:t>
      </w:r>
      <w:r>
        <w:rPr>
          <w:b/>
          <w:szCs w:val="22"/>
        </w:rPr>
        <w:t>dnia</w:t>
      </w:r>
      <w:r w:rsidRPr="008C277D">
        <w:rPr>
          <w:b/>
          <w:szCs w:val="22"/>
        </w:rPr>
        <w:t xml:space="preserve"> </w:t>
      </w:r>
      <w:r>
        <w:rPr>
          <w:b/>
          <w:szCs w:val="22"/>
        </w:rPr>
        <w:t>11</w:t>
      </w:r>
      <w:r w:rsidRPr="008C277D">
        <w:rPr>
          <w:b/>
        </w:rPr>
        <w:t>. 0</w:t>
      </w:r>
      <w:r>
        <w:rPr>
          <w:b/>
        </w:rPr>
        <w:t>4</w:t>
      </w:r>
      <w:r w:rsidRPr="008C277D">
        <w:rPr>
          <w:b/>
        </w:rPr>
        <w:t>. 201</w:t>
      </w:r>
      <w:r>
        <w:rPr>
          <w:b/>
        </w:rPr>
        <w:t>6</w:t>
      </w:r>
      <w:r w:rsidRPr="008C277D">
        <w:rPr>
          <w:b/>
        </w:rPr>
        <w:t xml:space="preserve"> r.,</w:t>
      </w:r>
    </w:p>
    <w:p w:rsidR="008C277D" w:rsidRPr="00CC446A" w:rsidRDefault="008C277D" w:rsidP="008C277D">
      <w:pPr>
        <w:pStyle w:val="Tekstpodstawowy2"/>
        <w:ind w:firstLine="567"/>
        <w:jc w:val="both"/>
        <w:rPr>
          <w:b w:val="0"/>
          <w:sz w:val="32"/>
        </w:rPr>
      </w:pPr>
    </w:p>
    <w:p w:rsidR="008C277D" w:rsidRPr="0000012D" w:rsidRDefault="008C277D" w:rsidP="008C277D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 xml:space="preserve">Przedmiotem sprzedaży jest będąca własnością Województwa Łódzkiego nieruchomość gruntowa, zabudowana, położona w obrębie Mierzyn,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 xml:space="preserve">jako działki o </w:t>
      </w:r>
      <w:r w:rsidRPr="0000012D">
        <w:rPr>
          <w:b w:val="0"/>
        </w:rPr>
        <w:t>numera</w:t>
      </w:r>
      <w:r>
        <w:rPr>
          <w:b w:val="0"/>
        </w:rPr>
        <w:t>ch</w:t>
      </w:r>
      <w:r w:rsidRPr="0000012D">
        <w:rPr>
          <w:b w:val="0"/>
        </w:rPr>
        <w:t>: 1208/5, 1209/5 i 1210/7, o łącznej powierzchni 1,4832 ha, dla której Sąd Rejonowy w Piotrkowie Trybunalskim prowadzi księgę wieczystą nr PT1P/00069716/9.</w:t>
      </w:r>
    </w:p>
    <w:p w:rsidR="008C277D" w:rsidRDefault="008C277D" w:rsidP="008C277D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Na nieruchomości posadowione są trzy wolnostojące budynki murowane:</w:t>
      </w:r>
    </w:p>
    <w:p w:rsidR="008C277D" w:rsidRPr="0064028E" w:rsidRDefault="008C277D" w:rsidP="008C277D">
      <w:pPr>
        <w:pStyle w:val="Tekstpodstawowy2"/>
        <w:ind w:firstLine="851"/>
        <w:jc w:val="both"/>
        <w:rPr>
          <w:b w:val="0"/>
          <w:sz w:val="14"/>
        </w:rPr>
      </w:pPr>
    </w:p>
    <w:p w:rsidR="008C277D" w:rsidRDefault="008C277D" w:rsidP="008C277D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 xml:space="preserve">budynek główny, wielofunkcyjny; </w:t>
      </w:r>
      <w:r w:rsidR="00CC446A">
        <w:rPr>
          <w:b w:val="0"/>
        </w:rPr>
        <w:t>o powierzchni 1137,15 </w:t>
      </w:r>
      <w:r w:rsidR="00CC446A" w:rsidRPr="00CC446A">
        <w:rPr>
          <w:b w:val="0"/>
        </w:rPr>
        <w:t>m</w:t>
      </w:r>
      <w:r w:rsidR="00CC446A" w:rsidRPr="00CC446A">
        <w:rPr>
          <w:b w:val="0"/>
          <w:vertAlign w:val="superscript"/>
        </w:rPr>
        <w:t>2</w:t>
      </w:r>
      <w:r w:rsidR="00CC446A">
        <w:rPr>
          <w:b w:val="0"/>
        </w:rPr>
        <w:t xml:space="preserve">; </w:t>
      </w:r>
      <w:r w:rsidRPr="00CC446A">
        <w:rPr>
          <w:b w:val="0"/>
        </w:rPr>
        <w:t>w</w:t>
      </w:r>
      <w:r w:rsidRPr="0000012D">
        <w:rPr>
          <w:b w:val="0"/>
        </w:rPr>
        <w:t xml:space="preserve"> części mi</w:t>
      </w:r>
      <w:r>
        <w:rPr>
          <w:b w:val="0"/>
        </w:rPr>
        <w:t>eszkalnej piętrowy</w:t>
      </w:r>
      <w:r w:rsidRPr="0000012D">
        <w:rPr>
          <w:b w:val="0"/>
        </w:rPr>
        <w:t>, częściowo podpiwniczony, w którym znajdują się</w:t>
      </w:r>
      <w:r>
        <w:rPr>
          <w:b w:val="0"/>
        </w:rPr>
        <w:t>:</w:t>
      </w:r>
    </w:p>
    <w:p w:rsidR="00CC446A" w:rsidRPr="00CC446A" w:rsidRDefault="00CC446A" w:rsidP="00CC446A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8C277D" w:rsidRDefault="008C277D" w:rsidP="008C277D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parterze: hall, </w:t>
      </w:r>
      <w:r w:rsidRPr="0000012D">
        <w:rPr>
          <w:b w:val="0"/>
        </w:rPr>
        <w:t>sala konferencyjna</w:t>
      </w:r>
      <w:r>
        <w:rPr>
          <w:b w:val="0"/>
        </w:rPr>
        <w:t>,</w:t>
      </w:r>
      <w:r w:rsidRPr="0000012D">
        <w:rPr>
          <w:b w:val="0"/>
        </w:rPr>
        <w:t xml:space="preserve"> </w:t>
      </w:r>
      <w:r>
        <w:rPr>
          <w:b w:val="0"/>
        </w:rPr>
        <w:t>sala gabinetowa, recepcja, trzy pokoje służbowe z łazienkami, sanitariaty, pomieszczenia pomocnicze oraz kuchnia z zapleczem, a także trzypokojowy lokal mieszkalny z przedpokojem, kuchnią łazienką i WC; wszystkie pomieszczenia razem mają powierzchnię 432,70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8C277D" w:rsidRDefault="008C277D" w:rsidP="008C277D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piętrze: hall, osiem </w:t>
      </w:r>
      <w:r w:rsidRPr="0000012D">
        <w:rPr>
          <w:b w:val="0"/>
        </w:rPr>
        <w:t>pokoi gościnny</w:t>
      </w:r>
      <w:r>
        <w:rPr>
          <w:b w:val="0"/>
        </w:rPr>
        <w:t>ch z </w:t>
      </w:r>
      <w:r w:rsidRPr="0000012D">
        <w:rPr>
          <w:b w:val="0"/>
        </w:rPr>
        <w:t>łazienkami</w:t>
      </w:r>
      <w:r>
        <w:rPr>
          <w:b w:val="0"/>
        </w:rPr>
        <w:t xml:space="preserve"> oraz dwupokojowy lokal mieszkalny z przedpokojem,, kuchnią, łazienką i WC; wszystkie pomieszczenia razem mają powierzchnię 328,50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8C277D" w:rsidRDefault="008C277D" w:rsidP="00CC446A">
      <w:pPr>
        <w:pStyle w:val="Tekstpodstawowy2"/>
        <w:numPr>
          <w:ilvl w:val="0"/>
          <w:numId w:val="5"/>
        </w:numPr>
        <w:tabs>
          <w:tab w:val="left" w:pos="567"/>
        </w:tabs>
        <w:ind w:left="1134" w:hanging="357"/>
        <w:jc w:val="both"/>
        <w:rPr>
          <w:b w:val="0"/>
        </w:rPr>
      </w:pPr>
      <w:r>
        <w:rPr>
          <w:b w:val="0"/>
        </w:rPr>
        <w:t>w piwnicy: hall</w:t>
      </w:r>
      <w:r w:rsidRPr="0000012D">
        <w:rPr>
          <w:b w:val="0"/>
        </w:rPr>
        <w:t xml:space="preserve">, </w:t>
      </w:r>
      <w:r>
        <w:rPr>
          <w:b w:val="0"/>
        </w:rPr>
        <w:t>duże pomieszczenie rekreacyjne (73,80 m</w:t>
      </w:r>
      <w:r>
        <w:rPr>
          <w:b w:val="0"/>
          <w:vertAlign w:val="superscript"/>
        </w:rPr>
        <w:t>2</w:t>
      </w:r>
      <w:r>
        <w:rPr>
          <w:b w:val="0"/>
        </w:rPr>
        <w:t>) z zapleczem sanitarnym i socjalnym, pomieszczenia gospodarcze, pomocnicze, a także kotłownia i dwa garaże; wszystkie pomieszczenia razem mają powierzchnię 375,95 m</w:t>
      </w:r>
      <w:r>
        <w:rPr>
          <w:b w:val="0"/>
          <w:vertAlign w:val="superscript"/>
        </w:rPr>
        <w:t>2</w:t>
      </w:r>
      <w:r>
        <w:rPr>
          <w:b w:val="0"/>
        </w:rPr>
        <w:t>.</w:t>
      </w:r>
    </w:p>
    <w:p w:rsidR="00CC446A" w:rsidRPr="00CC446A" w:rsidRDefault="00CC446A" w:rsidP="00CC446A">
      <w:pPr>
        <w:pStyle w:val="Tekstpodstawowy2"/>
        <w:tabs>
          <w:tab w:val="left" w:pos="567"/>
        </w:tabs>
        <w:spacing w:after="120"/>
        <w:ind w:left="777"/>
        <w:jc w:val="both"/>
        <w:rPr>
          <w:b w:val="0"/>
          <w:sz w:val="12"/>
        </w:rPr>
      </w:pPr>
    </w:p>
    <w:p w:rsidR="008C277D" w:rsidRPr="0000012D" w:rsidRDefault="008C277D" w:rsidP="008C277D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>budynek garażowo-warsztatowy; parterowy, o powierzchni użytkowej 110,50 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, w</w:t>
      </w:r>
      <w:r>
        <w:rPr>
          <w:b w:val="0"/>
        </w:rPr>
        <w:t> </w:t>
      </w:r>
      <w:r w:rsidRPr="0000012D">
        <w:rPr>
          <w:b w:val="0"/>
        </w:rPr>
        <w:t>którym znajdują się dwa pomieszczenia garażowo-magazynowe i pomieszczenia warsztatowe.</w:t>
      </w:r>
    </w:p>
    <w:p w:rsidR="008C277D" w:rsidRDefault="008C277D" w:rsidP="008C277D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portierni z zapleczem socjalnym</w:t>
      </w:r>
      <w:r>
        <w:rPr>
          <w:b w:val="0"/>
        </w:rPr>
        <w:t>,</w:t>
      </w:r>
      <w:r w:rsidRPr="0000012D">
        <w:rPr>
          <w:b w:val="0"/>
        </w:rPr>
        <w:t xml:space="preserve"> o powierzchni użytkowej 35,90 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.</w:t>
      </w:r>
    </w:p>
    <w:p w:rsidR="008C277D" w:rsidRPr="0064028E" w:rsidRDefault="008C277D" w:rsidP="008C277D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8C277D" w:rsidRDefault="008C277D" w:rsidP="008C277D">
      <w:pPr>
        <w:ind w:firstLine="851"/>
        <w:jc w:val="both"/>
        <w:rPr>
          <w:szCs w:val="16"/>
        </w:rPr>
      </w:pPr>
      <w:r>
        <w:rPr>
          <w:szCs w:val="16"/>
        </w:rPr>
        <w:t xml:space="preserve">Nieruchomość przyłączona jest do sieci elektrycznej, posiada własne ujęcie wody ze studni głębinowej, lokalną kanalizację oraz ogrzewanie lokalne, olejowe i elektryczne. </w:t>
      </w:r>
    </w:p>
    <w:p w:rsidR="008C277D" w:rsidRDefault="008C277D" w:rsidP="008C277D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nie jest obciążona ograniczonymi prawami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8C277D" w:rsidRDefault="008C277D" w:rsidP="008C277D">
      <w:pPr>
        <w:ind w:firstLine="851"/>
        <w:jc w:val="both"/>
        <w:rPr>
          <w:bCs/>
        </w:rPr>
      </w:pPr>
      <w:r>
        <w:rPr>
          <w:szCs w:val="26"/>
        </w:rPr>
        <w:t xml:space="preserve">Nieruchomość nie jest objęta obowiązującym </w:t>
      </w:r>
      <w:r w:rsidRPr="001269AC">
        <w:rPr>
          <w:szCs w:val="26"/>
        </w:rPr>
        <w:t>plan</w:t>
      </w:r>
      <w:r>
        <w:rPr>
          <w:szCs w:val="26"/>
        </w:rPr>
        <w:t>em</w:t>
      </w:r>
      <w:r w:rsidRPr="001269AC">
        <w:rPr>
          <w:szCs w:val="26"/>
        </w:rPr>
        <w:t xml:space="preserve"> zagospodaro</w:t>
      </w:r>
      <w:r>
        <w:rPr>
          <w:szCs w:val="26"/>
        </w:rPr>
        <w:t>wania przestrzennego. Zgodnie z </w:t>
      </w:r>
      <w:r w:rsidRPr="001269AC">
        <w:rPr>
          <w:szCs w:val="26"/>
        </w:rPr>
        <w:t>obowiązującym studi</w:t>
      </w:r>
      <w:r>
        <w:rPr>
          <w:szCs w:val="26"/>
        </w:rPr>
        <w:t>um uwarunkowań i </w:t>
      </w:r>
      <w:r w:rsidRPr="001269AC">
        <w:rPr>
          <w:szCs w:val="26"/>
        </w:rPr>
        <w:t>kierunków zagospodarowania przestrzennego</w:t>
      </w:r>
      <w:r>
        <w:rPr>
          <w:szCs w:val="26"/>
        </w:rPr>
        <w:t xml:space="preserve"> </w:t>
      </w:r>
      <w:r w:rsidRPr="001269AC">
        <w:rPr>
          <w:szCs w:val="26"/>
        </w:rPr>
        <w:t xml:space="preserve">nieruchomość położona jest na </w:t>
      </w:r>
      <w:r>
        <w:rPr>
          <w:szCs w:val="26"/>
        </w:rPr>
        <w:t>terenach usług.</w:t>
      </w:r>
      <w:r w:rsidRPr="00EC073F">
        <w:rPr>
          <w:bCs/>
        </w:rPr>
        <w:t xml:space="preserve"> </w:t>
      </w:r>
    </w:p>
    <w:p w:rsidR="008C277D" w:rsidRPr="008C277D" w:rsidRDefault="008C277D" w:rsidP="008C277D">
      <w:pPr>
        <w:ind w:firstLine="851"/>
        <w:jc w:val="both"/>
        <w:rPr>
          <w:szCs w:val="26"/>
        </w:rPr>
      </w:pPr>
      <w:r w:rsidRPr="008C277D">
        <w:rPr>
          <w:szCs w:val="26"/>
        </w:rPr>
        <w:t>Budynki posadowione na nieruchomości nie posiadają świadectw charakterystyki energetycznej.</w:t>
      </w:r>
    </w:p>
    <w:p w:rsidR="008C277D" w:rsidRDefault="008C277D" w:rsidP="008C277D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8C277D" w:rsidRPr="00980716" w:rsidRDefault="008C277D" w:rsidP="008C277D">
      <w:pPr>
        <w:ind w:firstLine="851"/>
        <w:jc w:val="both"/>
        <w:rPr>
          <w:sz w:val="18"/>
          <w:szCs w:val="16"/>
        </w:rPr>
      </w:pPr>
    </w:p>
    <w:p w:rsidR="008C277D" w:rsidRPr="001269AC" w:rsidRDefault="008C277D" w:rsidP="008C277D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510D69">
        <w:rPr>
          <w:b/>
        </w:rPr>
        <w:t>25</w:t>
      </w:r>
      <w:r w:rsidRPr="001269AC">
        <w:rPr>
          <w:b/>
        </w:rPr>
        <w:t>.</w:t>
      </w:r>
      <w:r>
        <w:rPr>
          <w:b/>
        </w:rPr>
        <w:t> 0</w:t>
      </w:r>
      <w:r w:rsidR="00854D26">
        <w:rPr>
          <w:b/>
        </w:rPr>
        <w:t>7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6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8C277D" w:rsidRDefault="008C277D" w:rsidP="008C277D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>
        <w:rPr>
          <w:b/>
        </w:rPr>
        <w:t>1.</w:t>
      </w:r>
      <w:r w:rsidR="00854D26">
        <w:rPr>
          <w:b/>
        </w:rPr>
        <w:t>4</w:t>
      </w:r>
      <w:r>
        <w:rPr>
          <w:b/>
        </w:rPr>
        <w:t>00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</w:t>
      </w:r>
      <w:r w:rsidR="00854D26">
        <w:rPr>
          <w:b/>
        </w:rPr>
        <w:t>4</w:t>
      </w:r>
      <w:r>
        <w:rPr>
          <w:b/>
        </w:rPr>
        <w:t>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8C277D" w:rsidRDefault="008C277D" w:rsidP="008C277D">
      <w:pPr>
        <w:ind w:firstLine="567"/>
        <w:jc w:val="both"/>
        <w:rPr>
          <w:sz w:val="18"/>
        </w:rPr>
      </w:pPr>
    </w:p>
    <w:p w:rsidR="008C277D" w:rsidRDefault="008C277D" w:rsidP="008C277D">
      <w:pPr>
        <w:ind w:firstLine="567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8C277D" w:rsidRDefault="008C277D" w:rsidP="008C277D">
      <w:pPr>
        <w:ind w:firstLine="567"/>
      </w:pPr>
      <w:r>
        <w:lastRenderedPageBreak/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8C277D" w:rsidRPr="0064716A" w:rsidRDefault="008C277D" w:rsidP="008C277D">
      <w:pPr>
        <w:ind w:firstLine="567"/>
        <w:rPr>
          <w:sz w:val="12"/>
        </w:rPr>
      </w:pPr>
    </w:p>
    <w:p w:rsidR="008C277D" w:rsidRPr="00B122FC" w:rsidRDefault="008C277D" w:rsidP="008C277D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,</w:t>
      </w:r>
      <w:r w:rsidRPr="008E45D4">
        <w:rPr>
          <w:sz w:val="24"/>
          <w:szCs w:val="24"/>
        </w:rPr>
        <w:t xml:space="preserve">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–Mierzyn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8C277D" w:rsidRDefault="008C277D" w:rsidP="008C277D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8C277D" w:rsidRPr="0064716A" w:rsidRDefault="008C277D" w:rsidP="008C277D">
      <w:pPr>
        <w:ind w:left="1058"/>
        <w:rPr>
          <w:sz w:val="12"/>
        </w:rPr>
      </w:pPr>
    </w:p>
    <w:p w:rsidR="008C277D" w:rsidRPr="001A3378" w:rsidRDefault="008C277D" w:rsidP="008C277D">
      <w:pPr>
        <w:ind w:firstLine="567"/>
      </w:pPr>
      <w:r>
        <w:t xml:space="preserve">Termin wniesienia wadium upływa w dniu </w:t>
      </w:r>
      <w:r w:rsidR="00510D69">
        <w:t>19</w:t>
      </w:r>
      <w:r w:rsidRPr="008E45D4">
        <w:t> </w:t>
      </w:r>
      <w:r w:rsidR="00510D69">
        <w:t>lipca</w:t>
      </w:r>
      <w:r w:rsidRPr="008E45D4">
        <w:t xml:space="preserve"> 201</w:t>
      </w:r>
      <w:r>
        <w:t>6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8C277D" w:rsidRDefault="008C277D" w:rsidP="008C277D">
      <w:pPr>
        <w:ind w:left="633"/>
      </w:pPr>
      <w:r w:rsidRPr="008867B8">
        <w:t>Wadium uczestnika,</w:t>
      </w:r>
      <w:r>
        <w:t xml:space="preserve"> który wygra przetarg:</w:t>
      </w:r>
    </w:p>
    <w:p w:rsidR="008C277D" w:rsidRPr="0064716A" w:rsidRDefault="008C277D" w:rsidP="008C277D">
      <w:pPr>
        <w:ind w:left="635"/>
        <w:rPr>
          <w:sz w:val="12"/>
        </w:rPr>
      </w:pPr>
    </w:p>
    <w:p w:rsidR="008C277D" w:rsidRDefault="008C277D" w:rsidP="008C277D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8C277D" w:rsidRDefault="008C277D" w:rsidP="008C277D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8C277D" w:rsidRPr="0064716A" w:rsidRDefault="008C277D" w:rsidP="008C277D">
      <w:pPr>
        <w:ind w:left="1058"/>
        <w:rPr>
          <w:sz w:val="12"/>
        </w:rPr>
      </w:pPr>
    </w:p>
    <w:p w:rsidR="008C277D" w:rsidRPr="008867B8" w:rsidRDefault="008C277D" w:rsidP="00CC446A">
      <w:pPr>
        <w:ind w:firstLine="567"/>
        <w:jc w:val="both"/>
      </w:pPr>
      <w:r w:rsidRPr="008867B8">
        <w:t>Pozostałym uczestnikom przetargu wadium zo</w:t>
      </w:r>
      <w:r>
        <w:t>stanie zwrócone niezwłocznie po </w:t>
      </w:r>
      <w:r w:rsidRPr="008867B8">
        <w:t>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8C277D" w:rsidRPr="008867B8" w:rsidRDefault="008C277D" w:rsidP="008C277D">
      <w:pPr>
        <w:ind w:firstLine="633"/>
      </w:pPr>
      <w:r w:rsidRPr="008867B8">
        <w:t>Nie podlega zwrotowi wadium wniesione prze</w:t>
      </w:r>
      <w:r>
        <w:t>z osobę, która przetarg wygra i </w:t>
      </w:r>
      <w:r w:rsidRPr="008867B8">
        <w:t>uchyli się od zawarcia umowy w wyznaczonym przez sprzedającego terminie.</w:t>
      </w:r>
    </w:p>
    <w:p w:rsidR="008C277D" w:rsidRDefault="008C277D" w:rsidP="008C277D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>od dnia 1</w:t>
      </w:r>
      <w:r w:rsidR="00510D69">
        <w:t>4</w:t>
      </w:r>
      <w:r>
        <w:t xml:space="preserve"> </w:t>
      </w:r>
      <w:r w:rsidRPr="008867B8">
        <w:t xml:space="preserve">do </w:t>
      </w:r>
      <w:r w:rsidR="00510D69">
        <w:t>19</w:t>
      </w:r>
      <w:r>
        <w:t> </w:t>
      </w:r>
      <w:r w:rsidR="00510D69">
        <w:t>lipca</w:t>
      </w:r>
      <w:r>
        <w:t xml:space="preserve">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8C277D" w:rsidRPr="0064716A" w:rsidRDefault="008C277D" w:rsidP="008C277D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8C277D" w:rsidRPr="008867B8" w:rsidRDefault="008C277D" w:rsidP="008C277D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8C277D" w:rsidRPr="008867B8" w:rsidRDefault="008C277D" w:rsidP="008C277D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8C277D" w:rsidRPr="00BF0B8F" w:rsidRDefault="008C277D" w:rsidP="008C277D">
      <w:pPr>
        <w:numPr>
          <w:ilvl w:val="0"/>
          <w:numId w:val="1"/>
        </w:numPr>
        <w:ind w:left="1418"/>
        <w:jc w:val="both"/>
      </w:pPr>
      <w:r w:rsidRPr="00BF0B8F">
        <w:t>dostarczą odpis z Krajowego Rejestru Sądowego sporządzony nie wcześniej niż na trzy miesiące przed datą przetargu (osoby prawne);</w:t>
      </w:r>
    </w:p>
    <w:p w:rsidR="008C277D" w:rsidRPr="008867B8" w:rsidRDefault="008C277D" w:rsidP="008C277D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8C277D" w:rsidRPr="008867B8" w:rsidRDefault="008C277D" w:rsidP="008C277D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8C277D" w:rsidRPr="008867B8" w:rsidRDefault="008C277D" w:rsidP="008C277D">
      <w:pPr>
        <w:numPr>
          <w:ilvl w:val="0"/>
          <w:numId w:val="1"/>
        </w:numPr>
        <w:ind w:left="1418"/>
        <w:jc w:val="both"/>
      </w:pPr>
      <w:r w:rsidRPr="008867B8">
        <w:t>złożą pisemne oświadczenie o</w:t>
      </w:r>
      <w:r>
        <w:t xml:space="preserve"> zapoznaniu się ze </w:t>
      </w:r>
      <w:r w:rsidRPr="008867B8">
        <w:t>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8C277D" w:rsidRDefault="008C277D" w:rsidP="008C277D">
      <w:pPr>
        <w:numPr>
          <w:ilvl w:val="0"/>
          <w:numId w:val="1"/>
        </w:numPr>
        <w:ind w:left="1418"/>
        <w:jc w:val="both"/>
      </w:pPr>
      <w:r>
        <w:t xml:space="preserve">pobiorą </w:t>
      </w:r>
      <w:r w:rsidRPr="008867B8">
        <w:t>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</w:t>
      </w:r>
      <w:r>
        <w:rPr>
          <w:bCs/>
        </w:rPr>
        <w:t>raw</w:t>
      </w:r>
      <w:r w:rsidRPr="008867B8">
        <w:rPr>
          <w:bCs/>
        </w:rPr>
        <w:t>niający do uczes</w:t>
      </w:r>
      <w:r w:rsidRPr="008867B8">
        <w:t>tnictwa w </w:t>
      </w:r>
      <w:r>
        <w:t>licytacji</w:t>
      </w:r>
      <w:r w:rsidRPr="008867B8">
        <w:t>.</w:t>
      </w:r>
    </w:p>
    <w:p w:rsidR="008C277D" w:rsidRPr="0064716A" w:rsidRDefault="008C277D" w:rsidP="008C277D">
      <w:pPr>
        <w:ind w:left="1058"/>
        <w:rPr>
          <w:sz w:val="12"/>
        </w:rPr>
      </w:pPr>
    </w:p>
    <w:p w:rsidR="008C277D" w:rsidRPr="007B731D" w:rsidRDefault="008C277D" w:rsidP="008C277D">
      <w:pPr>
        <w:pStyle w:val="Tekstpodstawowy"/>
        <w:spacing w:after="0"/>
        <w:ind w:firstLine="567"/>
        <w:jc w:val="both"/>
      </w:pPr>
      <w:r w:rsidRPr="007B731D">
        <w:t>Jeżeli nabycie nieruchomości ma nastąpić do majątku wspólnego małżonków, warunkiem dopuszczenia do uczestnictwa w przetargu jest stawiennictwo obojga małżonków.</w:t>
      </w:r>
    </w:p>
    <w:p w:rsidR="008C277D" w:rsidRPr="008867B8" w:rsidRDefault="008C277D" w:rsidP="008C277D">
      <w:pPr>
        <w:pStyle w:val="Tekstpodstawowy"/>
        <w:spacing w:after="0"/>
        <w:ind w:firstLine="567"/>
        <w:jc w:val="both"/>
        <w:rPr>
          <w:b/>
        </w:rPr>
      </w:pPr>
      <w:r>
        <w:t xml:space="preserve">Warunkiem zawarcia </w:t>
      </w:r>
      <w:r w:rsidR="005656E8">
        <w:t xml:space="preserve">umowy sprzedaży nieruchomości w postaci </w:t>
      </w:r>
      <w:r>
        <w:t>aktu notarialnego będzie uzyskanie zgody Zarządu Województwa Łódzkiego w formie uchwały na zawarcie takiej umowy</w:t>
      </w:r>
      <w:r w:rsidR="005656E8" w:rsidRPr="005656E8">
        <w:t xml:space="preserve"> </w:t>
      </w:r>
      <w:r w:rsidR="005656E8">
        <w:t>z określonym oferentem</w:t>
      </w:r>
      <w:r>
        <w:t>.</w:t>
      </w:r>
    </w:p>
    <w:p w:rsidR="008C277D" w:rsidRDefault="008C277D" w:rsidP="008C277D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8C277D" w:rsidRPr="00614113" w:rsidRDefault="008C277D" w:rsidP="008C277D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8C277D" w:rsidRPr="008F110C" w:rsidRDefault="008C277D" w:rsidP="008C277D">
      <w:pPr>
        <w:ind w:firstLine="567"/>
        <w:jc w:val="both"/>
        <w:rPr>
          <w:sz w:val="18"/>
        </w:rPr>
      </w:pPr>
    </w:p>
    <w:p w:rsidR="000A4925" w:rsidRDefault="000A4925"/>
    <w:sectPr w:rsidR="000A4925" w:rsidSect="00254378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731" w:rsidRDefault="00B94731" w:rsidP="00CC446A">
      <w:r>
        <w:separator/>
      </w:r>
    </w:p>
  </w:endnote>
  <w:endnote w:type="continuationSeparator" w:id="0">
    <w:p w:rsidR="00B94731" w:rsidRDefault="00B94731" w:rsidP="00CC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id w:val="21135454"/>
      <w:docPartObj>
        <w:docPartGallery w:val="Page Numbers (Bottom of Page)"/>
        <w:docPartUnique/>
      </w:docPartObj>
    </w:sdtPr>
    <w:sdtEndPr/>
    <w:sdtContent>
      <w:p w:rsidR="009A701B" w:rsidRPr="00706A9E" w:rsidRDefault="00B94731">
        <w:pPr>
          <w:pStyle w:val="Stopka"/>
          <w:jc w:val="center"/>
          <w:rPr>
            <w:color w:val="7F7F7F" w:themeColor="text1" w:themeTint="80"/>
          </w:rPr>
        </w:pPr>
        <w:r w:rsidRPr="00706A9E">
          <w:rPr>
            <w:i/>
            <w:color w:val="7F7F7F" w:themeColor="text1" w:themeTint="80"/>
          </w:rPr>
          <w:t xml:space="preserve">strona </w:t>
        </w:r>
        <w:r w:rsidRPr="00706A9E">
          <w:rPr>
            <w:i/>
            <w:color w:val="7F7F7F" w:themeColor="text1" w:themeTint="80"/>
          </w:rPr>
          <w:fldChar w:fldCharType="begin"/>
        </w:r>
        <w:r w:rsidRPr="00706A9E">
          <w:rPr>
            <w:i/>
            <w:color w:val="7F7F7F" w:themeColor="text1" w:themeTint="80"/>
          </w:rPr>
          <w:instrText xml:space="preserve"> PAGE   \* MERGEFORMAT </w:instrText>
        </w:r>
        <w:r w:rsidRPr="00706A9E">
          <w:rPr>
            <w:i/>
            <w:color w:val="7F7F7F" w:themeColor="text1" w:themeTint="80"/>
          </w:rPr>
          <w:fldChar w:fldCharType="separate"/>
        </w:r>
        <w:r w:rsidR="005656E8">
          <w:rPr>
            <w:i/>
            <w:noProof/>
            <w:color w:val="7F7F7F" w:themeColor="text1" w:themeTint="80"/>
          </w:rPr>
          <w:t>2</w:t>
        </w:r>
        <w:r w:rsidRPr="00706A9E">
          <w:rPr>
            <w:i/>
            <w:color w:val="7F7F7F" w:themeColor="text1" w:themeTint="80"/>
          </w:rPr>
          <w:fldChar w:fldCharType="end"/>
        </w:r>
        <w:r w:rsidRPr="00706A9E">
          <w:rPr>
            <w:i/>
            <w:color w:val="7F7F7F" w:themeColor="text1" w:themeTint="80"/>
          </w:rPr>
          <w:t xml:space="preserve"> </w:t>
        </w:r>
        <w:sdt>
          <w:sdtPr>
            <w:rPr>
              <w:i/>
              <w:color w:val="7F7F7F" w:themeColor="text1" w:themeTint="80"/>
            </w:rPr>
            <w:id w:val="5882913"/>
            <w:docPartObj>
              <w:docPartGallery w:val="Page Numbers (Bottom of Page)"/>
              <w:docPartUnique/>
            </w:docPartObj>
          </w:sdtPr>
          <w:sdtEndPr/>
          <w:sdtContent>
            <w:r w:rsidRPr="00706A9E">
              <w:rPr>
                <w:i/>
                <w:color w:val="7F7F7F" w:themeColor="text1" w:themeTint="80"/>
              </w:rPr>
              <w:t xml:space="preserve">z </w:t>
            </w:r>
            <w:r>
              <w:rPr>
                <w:i/>
                <w:color w:val="7F7F7F" w:themeColor="text1" w:themeTint="80"/>
              </w:rPr>
              <w:t>2</w:t>
            </w:r>
          </w:sdtContent>
        </w:sdt>
      </w:p>
    </w:sdtContent>
  </w:sdt>
  <w:p w:rsidR="009A701B" w:rsidRDefault="00B947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731" w:rsidRDefault="00B94731" w:rsidP="00CC446A">
      <w:r>
        <w:separator/>
      </w:r>
    </w:p>
  </w:footnote>
  <w:footnote w:type="continuationSeparator" w:id="0">
    <w:p w:rsidR="00B94731" w:rsidRDefault="00B94731" w:rsidP="00CC4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77D"/>
    <w:rsid w:val="00063CA6"/>
    <w:rsid w:val="0007386B"/>
    <w:rsid w:val="0007396F"/>
    <w:rsid w:val="000A4925"/>
    <w:rsid w:val="001E013B"/>
    <w:rsid w:val="002C13E8"/>
    <w:rsid w:val="00367243"/>
    <w:rsid w:val="004C1928"/>
    <w:rsid w:val="004D1A1A"/>
    <w:rsid w:val="00510D69"/>
    <w:rsid w:val="00512E35"/>
    <w:rsid w:val="00530C2D"/>
    <w:rsid w:val="00546AB1"/>
    <w:rsid w:val="005656E8"/>
    <w:rsid w:val="005A5B81"/>
    <w:rsid w:val="005C4768"/>
    <w:rsid w:val="00601C76"/>
    <w:rsid w:val="00621B7E"/>
    <w:rsid w:val="00771C06"/>
    <w:rsid w:val="00794312"/>
    <w:rsid w:val="00854D26"/>
    <w:rsid w:val="008752E4"/>
    <w:rsid w:val="008C277D"/>
    <w:rsid w:val="008E4EB2"/>
    <w:rsid w:val="009A6667"/>
    <w:rsid w:val="009C6CA9"/>
    <w:rsid w:val="009F7F23"/>
    <w:rsid w:val="00A52164"/>
    <w:rsid w:val="00B13ED1"/>
    <w:rsid w:val="00B174A3"/>
    <w:rsid w:val="00B94731"/>
    <w:rsid w:val="00CC446A"/>
    <w:rsid w:val="00D118BA"/>
    <w:rsid w:val="00DC6E3A"/>
    <w:rsid w:val="00E25737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C277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8C27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C277D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27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C27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2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2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277D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C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44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2016-05-13T11:14:00Z</cp:lastPrinted>
  <dcterms:created xsi:type="dcterms:W3CDTF">2016-05-13T09:06:00Z</dcterms:created>
  <dcterms:modified xsi:type="dcterms:W3CDTF">2016-05-13T11:14:00Z</dcterms:modified>
</cp:coreProperties>
</file>