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01" w:rsidRPr="00BC3137" w:rsidRDefault="00D21901" w:rsidP="00D21901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D21901" w:rsidRDefault="00D21901" w:rsidP="00D21901">
      <w:pPr>
        <w:jc w:val="center"/>
        <w:rPr>
          <w:b/>
          <w:sz w:val="20"/>
        </w:rPr>
      </w:pPr>
    </w:p>
    <w:p w:rsidR="00D21901" w:rsidRPr="00BC3137" w:rsidRDefault="00D21901" w:rsidP="00D21901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D21901" w:rsidRDefault="00D21901" w:rsidP="00D21901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="003C70BA">
        <w:rPr>
          <w:b/>
          <w:sz w:val="40"/>
        </w:rPr>
        <w:t>w najem</w:t>
      </w:r>
      <w:r w:rsidR="0088240D">
        <w:rPr>
          <w:b/>
          <w:sz w:val="40"/>
        </w:rPr>
        <w:t xml:space="preserve"> w trybie </w:t>
      </w:r>
      <w:proofErr w:type="spellStart"/>
      <w:r w:rsidR="0088240D">
        <w:rPr>
          <w:b/>
          <w:sz w:val="40"/>
        </w:rPr>
        <w:t>bezprzetargowym</w:t>
      </w:r>
      <w:proofErr w:type="spellEnd"/>
    </w:p>
    <w:p w:rsidR="00D21901" w:rsidRPr="008A24BB" w:rsidRDefault="00D21901" w:rsidP="00D21901">
      <w:pPr>
        <w:rPr>
          <w:sz w:val="14"/>
        </w:rPr>
      </w:pPr>
    </w:p>
    <w:tbl>
      <w:tblPr>
        <w:tblStyle w:val="Tabela-Siatka"/>
        <w:tblW w:w="1505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057"/>
        <w:gridCol w:w="1111"/>
        <w:gridCol w:w="3283"/>
        <w:gridCol w:w="2498"/>
        <w:gridCol w:w="2835"/>
        <w:gridCol w:w="1645"/>
      </w:tblGrid>
      <w:tr w:rsidR="003C70BA" w:rsidRPr="00DA37BE" w:rsidTr="009E5E2E">
        <w:trPr>
          <w:trHeight w:val="1418"/>
          <w:jc w:val="center"/>
        </w:trPr>
        <w:tc>
          <w:tcPr>
            <w:tcW w:w="626" w:type="dxa"/>
            <w:tcBorders>
              <w:bottom w:val="single" w:sz="4" w:space="0" w:color="auto"/>
            </w:tcBorders>
            <w:shd w:val="clear" w:color="auto" w:fill="28BE56"/>
            <w:vAlign w:val="center"/>
          </w:tcPr>
          <w:p w:rsidR="003C70BA" w:rsidRPr="00857341" w:rsidRDefault="003C70BA" w:rsidP="002743CF">
            <w:pPr>
              <w:jc w:val="center"/>
              <w:rPr>
                <w:b/>
                <w:sz w:val="26"/>
                <w:szCs w:val="24"/>
              </w:rPr>
            </w:pPr>
            <w:r w:rsidRPr="00857341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28BE56"/>
            <w:vAlign w:val="center"/>
          </w:tcPr>
          <w:p w:rsidR="003C70BA" w:rsidRPr="00857341" w:rsidRDefault="003C70BA" w:rsidP="002743CF">
            <w:pPr>
              <w:jc w:val="center"/>
              <w:rPr>
                <w:b/>
                <w:sz w:val="26"/>
                <w:szCs w:val="24"/>
              </w:rPr>
            </w:pPr>
            <w:r w:rsidRPr="00857341">
              <w:rPr>
                <w:b/>
                <w:sz w:val="26"/>
                <w:szCs w:val="24"/>
              </w:rPr>
              <w:t xml:space="preserve">Położenie </w:t>
            </w:r>
          </w:p>
          <w:p w:rsidR="003C70BA" w:rsidRPr="00857341" w:rsidRDefault="003C70BA" w:rsidP="002743CF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857341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11" w:type="dxa"/>
            <w:shd w:val="clear" w:color="auto" w:fill="28BE56"/>
            <w:vAlign w:val="center"/>
          </w:tcPr>
          <w:p w:rsidR="003C70BA" w:rsidRPr="00857341" w:rsidRDefault="003C70BA" w:rsidP="002743CF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857341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3C70BA" w:rsidRPr="00857341" w:rsidRDefault="003C70BA" w:rsidP="002743CF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 w:rsidRPr="00857341"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3283" w:type="dxa"/>
            <w:shd w:val="clear" w:color="auto" w:fill="28BE56"/>
            <w:vAlign w:val="center"/>
          </w:tcPr>
          <w:p w:rsidR="003C70BA" w:rsidRPr="00857341" w:rsidRDefault="003C70BA" w:rsidP="002743CF">
            <w:pPr>
              <w:jc w:val="center"/>
              <w:rPr>
                <w:b/>
                <w:sz w:val="26"/>
                <w:szCs w:val="24"/>
              </w:rPr>
            </w:pPr>
            <w:r w:rsidRPr="00857341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2498" w:type="dxa"/>
            <w:shd w:val="clear" w:color="auto" w:fill="28BE56"/>
            <w:vAlign w:val="center"/>
          </w:tcPr>
          <w:p w:rsidR="003C70BA" w:rsidRPr="00857341" w:rsidRDefault="003C70BA" w:rsidP="002743CF">
            <w:pPr>
              <w:jc w:val="center"/>
              <w:rPr>
                <w:b/>
                <w:sz w:val="26"/>
                <w:szCs w:val="24"/>
              </w:rPr>
            </w:pPr>
            <w:r w:rsidRPr="00857341">
              <w:rPr>
                <w:b/>
                <w:sz w:val="26"/>
                <w:szCs w:val="24"/>
              </w:rPr>
              <w:t xml:space="preserve">Przeznaczenie nieruchomości </w:t>
            </w:r>
          </w:p>
        </w:tc>
        <w:tc>
          <w:tcPr>
            <w:tcW w:w="2835" w:type="dxa"/>
            <w:shd w:val="clear" w:color="auto" w:fill="28BE56"/>
            <w:vAlign w:val="center"/>
          </w:tcPr>
          <w:p w:rsidR="003C70BA" w:rsidRPr="00857341" w:rsidRDefault="003C70BA" w:rsidP="003C70BA">
            <w:pPr>
              <w:jc w:val="center"/>
              <w:rPr>
                <w:b/>
                <w:sz w:val="26"/>
                <w:szCs w:val="24"/>
              </w:rPr>
            </w:pPr>
            <w:r w:rsidRPr="00857341">
              <w:rPr>
                <w:b/>
                <w:sz w:val="26"/>
                <w:szCs w:val="24"/>
              </w:rPr>
              <w:t>Stawka czynszu</w:t>
            </w:r>
            <w:r w:rsidRPr="00857341">
              <w:rPr>
                <w:b/>
                <w:sz w:val="26"/>
                <w:szCs w:val="24"/>
                <w:vertAlign w:val="superscript"/>
              </w:rPr>
              <w:t>*</w:t>
            </w:r>
          </w:p>
        </w:tc>
        <w:tc>
          <w:tcPr>
            <w:tcW w:w="1645" w:type="dxa"/>
            <w:shd w:val="clear" w:color="auto" w:fill="28BE56"/>
            <w:vAlign w:val="center"/>
          </w:tcPr>
          <w:p w:rsidR="00BE75CC" w:rsidRPr="00857341" w:rsidRDefault="003C70BA" w:rsidP="003C70BA">
            <w:pPr>
              <w:jc w:val="center"/>
              <w:rPr>
                <w:b/>
                <w:sz w:val="26"/>
                <w:szCs w:val="24"/>
              </w:rPr>
            </w:pPr>
            <w:r w:rsidRPr="00857341">
              <w:rPr>
                <w:b/>
                <w:sz w:val="26"/>
                <w:szCs w:val="24"/>
              </w:rPr>
              <w:t>Forma</w:t>
            </w:r>
          </w:p>
          <w:p w:rsidR="003C70BA" w:rsidRPr="00857341" w:rsidRDefault="003C70BA" w:rsidP="003C70BA">
            <w:pPr>
              <w:jc w:val="center"/>
              <w:rPr>
                <w:b/>
                <w:sz w:val="26"/>
                <w:szCs w:val="24"/>
                <w:vertAlign w:val="superscript"/>
              </w:rPr>
            </w:pPr>
            <w:r w:rsidRPr="00857341">
              <w:rPr>
                <w:b/>
                <w:sz w:val="26"/>
                <w:szCs w:val="24"/>
              </w:rPr>
              <w:t xml:space="preserve"> i okres najmu</w:t>
            </w:r>
          </w:p>
        </w:tc>
      </w:tr>
      <w:tr w:rsidR="003C70BA" w:rsidRPr="00DA37BE" w:rsidTr="009E5E2E">
        <w:trPr>
          <w:trHeight w:val="4388"/>
          <w:jc w:val="center"/>
        </w:trPr>
        <w:tc>
          <w:tcPr>
            <w:tcW w:w="626" w:type="dxa"/>
            <w:tcBorders>
              <w:left w:val="single" w:sz="4" w:space="0" w:color="00B050"/>
              <w:bottom w:val="single" w:sz="4" w:space="0" w:color="00B050"/>
              <w:right w:val="single" w:sz="4" w:space="0" w:color="auto"/>
            </w:tcBorders>
            <w:vAlign w:val="center"/>
          </w:tcPr>
          <w:p w:rsidR="003C70BA" w:rsidRPr="00DA37BE" w:rsidRDefault="002706BE" w:rsidP="00450B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00B050"/>
            </w:tcBorders>
            <w:vAlign w:val="center"/>
          </w:tcPr>
          <w:p w:rsidR="0084498E" w:rsidRDefault="0084498E" w:rsidP="0084498E">
            <w:pPr>
              <w:ind w:right="24" w:firstLine="773"/>
              <w:rPr>
                <w:rFonts w:cs="Times New Roman"/>
                <w:sz w:val="24"/>
                <w:szCs w:val="26"/>
              </w:rPr>
            </w:pPr>
            <w:r w:rsidRPr="00937BB4">
              <w:rPr>
                <w:rFonts w:eastAsia="Calibri" w:cs="Times New Roman"/>
                <w:sz w:val="24"/>
                <w:szCs w:val="26"/>
              </w:rPr>
              <w:t>Nieruchomość poło</w:t>
            </w:r>
            <w:r>
              <w:rPr>
                <w:rFonts w:eastAsia="Calibri" w:cs="Times New Roman"/>
                <w:sz w:val="24"/>
                <w:szCs w:val="26"/>
              </w:rPr>
              <w:t>-</w:t>
            </w:r>
            <w:r w:rsidRPr="00937BB4">
              <w:rPr>
                <w:rFonts w:eastAsia="Calibri" w:cs="Times New Roman"/>
                <w:sz w:val="24"/>
                <w:szCs w:val="26"/>
              </w:rPr>
              <w:t>żona w Skierniewicach, przy ul.</w:t>
            </w:r>
            <w:r w:rsidR="0084288D">
              <w:rPr>
                <w:rFonts w:eastAsia="Calibri" w:cs="Times New Roman"/>
                <w:sz w:val="24"/>
                <w:szCs w:val="26"/>
              </w:rPr>
              <w:t>  </w:t>
            </w:r>
            <w:r w:rsidRPr="00937BB4">
              <w:rPr>
                <w:rFonts w:eastAsia="Calibri" w:cs="Times New Roman"/>
                <w:sz w:val="24"/>
                <w:szCs w:val="26"/>
              </w:rPr>
              <w:t> </w:t>
            </w:r>
            <w:proofErr w:type="spellStart"/>
            <w:r w:rsidRPr="00937BB4">
              <w:rPr>
                <w:rFonts w:eastAsia="Calibri" w:cs="Times New Roman"/>
                <w:sz w:val="24"/>
                <w:szCs w:val="26"/>
              </w:rPr>
              <w:t>Nowobielańskiej</w:t>
            </w:r>
            <w:proofErr w:type="spellEnd"/>
            <w:r w:rsidRPr="00937BB4">
              <w:rPr>
                <w:rFonts w:eastAsia="Calibri" w:cs="Times New Roman"/>
                <w:sz w:val="24"/>
                <w:szCs w:val="26"/>
              </w:rPr>
              <w:t xml:space="preserve"> 61, oznaczona w ewidencji gruntów jako działka nr 558 w</w:t>
            </w:r>
            <w:r w:rsidR="00DB770D">
              <w:rPr>
                <w:rFonts w:eastAsia="Calibri" w:cs="Times New Roman"/>
                <w:sz w:val="24"/>
                <w:szCs w:val="26"/>
              </w:rPr>
              <w:t xml:space="preserve"> </w:t>
            </w:r>
            <w:r w:rsidRPr="00937BB4">
              <w:rPr>
                <w:rFonts w:eastAsia="Calibri" w:cs="Times New Roman"/>
                <w:sz w:val="24"/>
                <w:szCs w:val="26"/>
              </w:rPr>
              <w:t>obrębie 2. m</w:t>
            </w:r>
            <w:r>
              <w:rPr>
                <w:rFonts w:eastAsia="Calibri" w:cs="Times New Roman"/>
                <w:sz w:val="24"/>
                <w:szCs w:val="26"/>
              </w:rPr>
              <w:t>iasta</w:t>
            </w:r>
            <w:r w:rsidRPr="00937BB4">
              <w:rPr>
                <w:rFonts w:eastAsia="Calibri" w:cs="Times New Roman"/>
                <w:sz w:val="24"/>
                <w:szCs w:val="26"/>
              </w:rPr>
              <w:t xml:space="preserve"> Skierniewice, dla której Sąd Rejonowy w Skierniewicach prowadzi księgę wieczystą nr LD1H/00019364/4.</w:t>
            </w:r>
            <w:r w:rsidRPr="00937BB4">
              <w:rPr>
                <w:rFonts w:cs="Times New Roman"/>
                <w:sz w:val="24"/>
                <w:szCs w:val="26"/>
              </w:rPr>
              <w:t xml:space="preserve"> </w:t>
            </w:r>
          </w:p>
          <w:p w:rsidR="003C70BA" w:rsidRDefault="003C70BA" w:rsidP="0084498E">
            <w:pPr>
              <w:ind w:right="24" w:firstLine="773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111" w:type="dxa"/>
            <w:vAlign w:val="center"/>
          </w:tcPr>
          <w:p w:rsidR="003C70BA" w:rsidRDefault="004D30ED" w:rsidP="004D30ED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4"/>
              </w:rPr>
              <w:t>0,4822</w:t>
            </w:r>
          </w:p>
        </w:tc>
        <w:tc>
          <w:tcPr>
            <w:tcW w:w="3283" w:type="dxa"/>
            <w:vAlign w:val="center"/>
          </w:tcPr>
          <w:p w:rsidR="0084498E" w:rsidRPr="00DA37BE" w:rsidRDefault="0084498E" w:rsidP="0084498E">
            <w:pPr>
              <w:ind w:firstLine="408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Pr="00DA37BE">
              <w:rPr>
                <w:sz w:val="24"/>
              </w:rPr>
              <w:t xml:space="preserve"> posad</w:t>
            </w:r>
            <w:r>
              <w:rPr>
                <w:sz w:val="24"/>
              </w:rPr>
              <w:t>owiony jest budynek przyłączony</w:t>
            </w:r>
            <w:r w:rsidRPr="00DA37BE">
              <w:rPr>
                <w:sz w:val="24"/>
              </w:rPr>
              <w:t xml:space="preserve"> do sieci elektrycznej</w:t>
            </w:r>
            <w:r>
              <w:rPr>
                <w:sz w:val="24"/>
              </w:rPr>
              <w:t xml:space="preserve">, </w:t>
            </w:r>
            <w:r w:rsidRPr="00DA37BE">
              <w:rPr>
                <w:sz w:val="24"/>
              </w:rPr>
              <w:t xml:space="preserve">grzewczej </w:t>
            </w:r>
            <w:r>
              <w:rPr>
                <w:sz w:val="24"/>
              </w:rPr>
              <w:t>i wodno-kanalizacyjnej</w:t>
            </w:r>
            <w:r w:rsidRPr="00DA37BE">
              <w:rPr>
                <w:sz w:val="24"/>
              </w:rPr>
              <w:t>.</w:t>
            </w:r>
          </w:p>
          <w:p w:rsidR="0084498E" w:rsidRDefault="007543B4" w:rsidP="0084498E">
            <w:pPr>
              <w:ind w:firstLine="40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1.2pt;margin-top:13pt;width:145.5pt;height:0;z-index:251681792" o:connectortype="straight"/>
              </w:pict>
            </w:r>
          </w:p>
          <w:p w:rsidR="0084498E" w:rsidRPr="00DA37BE" w:rsidRDefault="0084498E" w:rsidP="0084498E">
            <w:pPr>
              <w:ind w:firstLine="408"/>
              <w:rPr>
                <w:sz w:val="24"/>
              </w:rPr>
            </w:pPr>
          </w:p>
          <w:p w:rsidR="003C70BA" w:rsidRDefault="0084498E" w:rsidP="0084498E">
            <w:pPr>
              <w:ind w:firstLine="408"/>
              <w:rPr>
                <w:sz w:val="22"/>
              </w:rPr>
            </w:pPr>
            <w:r>
              <w:rPr>
                <w:sz w:val="24"/>
              </w:rPr>
              <w:t>Przedmiotem najmu będzie l</w:t>
            </w:r>
            <w:r w:rsidRPr="00130395">
              <w:rPr>
                <w:sz w:val="24"/>
              </w:rPr>
              <w:t xml:space="preserve">okal </w:t>
            </w:r>
            <w:r>
              <w:rPr>
                <w:sz w:val="24"/>
              </w:rPr>
              <w:t>o powierzchni  użytkowej 81,11 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, </w:t>
            </w:r>
            <w:r w:rsidRPr="00130395">
              <w:rPr>
                <w:sz w:val="24"/>
              </w:rPr>
              <w:t>usytuowany na parterze, składający się z trzech pokoi, WC</w:t>
            </w:r>
            <w:r>
              <w:rPr>
                <w:sz w:val="24"/>
              </w:rPr>
              <w:t xml:space="preserve"> i </w:t>
            </w:r>
            <w:r w:rsidRPr="00130395">
              <w:rPr>
                <w:sz w:val="24"/>
              </w:rPr>
              <w:t>holu. Posiada oddzielne wejście oznaczone numerem 3.</w:t>
            </w:r>
          </w:p>
        </w:tc>
        <w:tc>
          <w:tcPr>
            <w:tcW w:w="2498" w:type="dxa"/>
            <w:vAlign w:val="center"/>
          </w:tcPr>
          <w:p w:rsidR="009E5E2E" w:rsidRDefault="009E5E2E" w:rsidP="005840E3">
            <w:pPr>
              <w:ind w:firstLine="295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Budynek posiada funkcję usługową.</w:t>
            </w:r>
          </w:p>
          <w:p w:rsidR="003C70BA" w:rsidRPr="0084288D" w:rsidRDefault="0084498E" w:rsidP="005840E3">
            <w:pPr>
              <w:ind w:firstLine="295"/>
              <w:rPr>
                <w:rFonts w:eastAsia="Calibri" w:cs="Times New Roman"/>
                <w:sz w:val="24"/>
              </w:rPr>
            </w:pPr>
            <w:r w:rsidRPr="0084288D">
              <w:rPr>
                <w:rFonts w:eastAsia="Calibri"/>
                <w:sz w:val="24"/>
                <w:szCs w:val="26"/>
              </w:rPr>
              <w:t xml:space="preserve">Lokal </w:t>
            </w:r>
            <w:proofErr w:type="spellStart"/>
            <w:r w:rsidRPr="0084288D">
              <w:rPr>
                <w:rFonts w:eastAsia="Calibri"/>
                <w:sz w:val="24"/>
                <w:szCs w:val="26"/>
              </w:rPr>
              <w:t>przezna</w:t>
            </w:r>
            <w:r w:rsidR="005840E3">
              <w:rPr>
                <w:rFonts w:eastAsia="Calibri"/>
                <w:sz w:val="24"/>
                <w:szCs w:val="26"/>
              </w:rPr>
              <w:t>-</w:t>
            </w:r>
            <w:r w:rsidRPr="0084288D">
              <w:rPr>
                <w:rFonts w:eastAsia="Calibri"/>
                <w:sz w:val="24"/>
                <w:szCs w:val="26"/>
              </w:rPr>
              <w:t>czony</w:t>
            </w:r>
            <w:proofErr w:type="spellEnd"/>
            <w:r w:rsidRPr="0084288D">
              <w:rPr>
                <w:rFonts w:eastAsia="Calibri"/>
                <w:sz w:val="24"/>
                <w:szCs w:val="26"/>
              </w:rPr>
              <w:t xml:space="preserve"> jest na </w:t>
            </w:r>
            <w:r w:rsidR="005840E3">
              <w:rPr>
                <w:rFonts w:eastAsia="Calibri"/>
                <w:sz w:val="24"/>
                <w:szCs w:val="26"/>
              </w:rPr>
              <w:t>potrzeby Regionalnego Centrum Krwiodawstwa i Krwiolecznictwa</w:t>
            </w:r>
            <w:r w:rsidR="009E5E2E">
              <w:rPr>
                <w:rFonts w:eastAsia="Calibri"/>
                <w:sz w:val="24"/>
                <w:szCs w:val="26"/>
              </w:rPr>
              <w:t xml:space="preserve"> w Łodzi</w:t>
            </w:r>
            <w:r w:rsidR="005840E3">
              <w:rPr>
                <w:rFonts w:eastAsia="Calibri"/>
                <w:sz w:val="24"/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84498E" w:rsidRDefault="0088240D" w:rsidP="009E5E2E">
            <w:pPr>
              <w:tabs>
                <w:tab w:val="left" w:pos="401"/>
              </w:tabs>
              <w:ind w:left="34" w:firstLine="225"/>
              <w:rPr>
                <w:sz w:val="24"/>
              </w:rPr>
            </w:pPr>
            <w:r>
              <w:rPr>
                <w:sz w:val="24"/>
              </w:rPr>
              <w:t>C</w:t>
            </w:r>
            <w:r w:rsidR="0084498E">
              <w:rPr>
                <w:sz w:val="24"/>
              </w:rPr>
              <w:t xml:space="preserve">zynsz za </w:t>
            </w:r>
            <w:r w:rsidR="008C3EAE">
              <w:rPr>
                <w:sz w:val="24"/>
              </w:rPr>
              <w:t xml:space="preserve">najem </w:t>
            </w:r>
            <w:r>
              <w:rPr>
                <w:sz w:val="24"/>
              </w:rPr>
              <w:t>lokalu wynosi</w:t>
            </w:r>
            <w:r w:rsidR="0084498E">
              <w:rPr>
                <w:sz w:val="24"/>
              </w:rPr>
              <w:t xml:space="preserve"> 1</w:t>
            </w:r>
            <w:r>
              <w:rPr>
                <w:sz w:val="24"/>
              </w:rPr>
              <w:t>.110</w:t>
            </w:r>
            <w:r w:rsidR="0084498E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="005840E3">
              <w:rPr>
                <w:sz w:val="24"/>
              </w:rPr>
              <w:t>0 zł netto za miesiąc.</w:t>
            </w:r>
          </w:p>
          <w:p w:rsidR="0084498E" w:rsidRDefault="0084498E" w:rsidP="009E5E2E">
            <w:pPr>
              <w:tabs>
                <w:tab w:val="left" w:pos="401"/>
              </w:tabs>
              <w:ind w:left="34" w:firstLine="317"/>
              <w:rPr>
                <w:sz w:val="24"/>
              </w:rPr>
            </w:pPr>
            <w:r>
              <w:rPr>
                <w:sz w:val="24"/>
              </w:rPr>
              <w:t>Czynsz</w:t>
            </w:r>
            <w:r w:rsidR="008C3EAE">
              <w:rPr>
                <w:sz w:val="24"/>
              </w:rPr>
              <w:t xml:space="preserve"> będzie płatny </w:t>
            </w:r>
            <w:r w:rsidR="005840E3">
              <w:rPr>
                <w:sz w:val="24"/>
              </w:rPr>
              <w:t xml:space="preserve">miesięcznie, </w:t>
            </w:r>
            <w:r w:rsidR="008C3EAE">
              <w:rPr>
                <w:sz w:val="24"/>
              </w:rPr>
              <w:t>z</w:t>
            </w:r>
            <w:r w:rsidR="005840E3">
              <w:rPr>
                <w:sz w:val="24"/>
              </w:rPr>
              <w:t xml:space="preserve"> </w:t>
            </w:r>
            <w:r w:rsidR="008C3EAE">
              <w:rPr>
                <w:sz w:val="24"/>
              </w:rPr>
              <w:t>góry.</w:t>
            </w:r>
          </w:p>
          <w:p w:rsidR="003C70BA" w:rsidRPr="0084498E" w:rsidRDefault="0084498E" w:rsidP="009E5E2E">
            <w:pPr>
              <w:tabs>
                <w:tab w:val="left" w:pos="401"/>
              </w:tabs>
              <w:ind w:left="34" w:firstLine="225"/>
              <w:rPr>
                <w:sz w:val="24"/>
              </w:rPr>
            </w:pPr>
            <w:r>
              <w:rPr>
                <w:sz w:val="24"/>
              </w:rPr>
              <w:t>Opłaty za media płatne zgodnie z wielkością udziału w powierzchni użytkowej budynku (5,</w:t>
            </w:r>
            <w:r w:rsidR="009E5E2E">
              <w:rPr>
                <w:sz w:val="24"/>
              </w:rPr>
              <w:t>56%);</w:t>
            </w:r>
            <w:r w:rsidR="008C3EAE">
              <w:rPr>
                <w:sz w:val="24"/>
              </w:rPr>
              <w:t xml:space="preserve"> na podstawie faktur wysta</w:t>
            </w:r>
            <w:r>
              <w:rPr>
                <w:sz w:val="24"/>
              </w:rPr>
              <w:t>wionych przez dostawców.</w:t>
            </w:r>
          </w:p>
        </w:tc>
        <w:tc>
          <w:tcPr>
            <w:tcW w:w="1645" w:type="dxa"/>
            <w:vAlign w:val="center"/>
          </w:tcPr>
          <w:p w:rsidR="008C3EAE" w:rsidRPr="0084288D" w:rsidRDefault="003C70BA" w:rsidP="008C3EAE">
            <w:pPr>
              <w:ind w:right="-135" w:firstLine="11"/>
              <w:jc w:val="center"/>
              <w:rPr>
                <w:sz w:val="24"/>
              </w:rPr>
            </w:pPr>
            <w:r w:rsidRPr="0084288D">
              <w:rPr>
                <w:sz w:val="24"/>
              </w:rPr>
              <w:t xml:space="preserve">Bez przetargu. </w:t>
            </w:r>
          </w:p>
          <w:p w:rsidR="003C70BA" w:rsidRPr="00CB2A3E" w:rsidRDefault="009E5E2E" w:rsidP="009E5E2E">
            <w:pPr>
              <w:ind w:left="-108" w:right="-135" w:firstLine="11"/>
              <w:jc w:val="center"/>
              <w:rPr>
                <w:sz w:val="22"/>
              </w:rPr>
            </w:pPr>
            <w:r>
              <w:rPr>
                <w:sz w:val="24"/>
              </w:rPr>
              <w:t>Od 01.11.2018 r. d</w:t>
            </w:r>
            <w:r w:rsidR="0088240D" w:rsidRPr="0084288D">
              <w:rPr>
                <w:sz w:val="24"/>
              </w:rPr>
              <w:t>o 31.12.2018 r</w:t>
            </w:r>
            <w:r w:rsidR="008C3EAE">
              <w:rPr>
                <w:sz w:val="22"/>
              </w:rPr>
              <w:t>.</w:t>
            </w:r>
          </w:p>
        </w:tc>
      </w:tr>
    </w:tbl>
    <w:p w:rsidR="00D21901" w:rsidRDefault="00D21901" w:rsidP="00D21901">
      <w:pPr>
        <w:tabs>
          <w:tab w:val="left" w:pos="14459"/>
        </w:tabs>
        <w:ind w:left="1418" w:right="850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>..</w:t>
      </w:r>
      <w:r w:rsidR="008C3EAE">
        <w:rPr>
          <w:sz w:val="20"/>
        </w:rPr>
        <w:t>Do podanej wysokości czynszu przy podpisywaniu umowy</w:t>
      </w:r>
      <w:r w:rsidR="00857341">
        <w:rPr>
          <w:sz w:val="20"/>
        </w:rPr>
        <w:t xml:space="preserve"> najmu</w:t>
      </w:r>
      <w:r w:rsidR="008C3EAE">
        <w:rPr>
          <w:sz w:val="20"/>
        </w:rPr>
        <w:t xml:space="preserve"> zostanie doliczony podatek VAT, zgodnie z obowiązującymi przepisami.</w:t>
      </w:r>
    </w:p>
    <w:p w:rsidR="00D21901" w:rsidRPr="00FA644D" w:rsidRDefault="00D21901" w:rsidP="00D21901">
      <w:pPr>
        <w:jc w:val="center"/>
        <w:rPr>
          <w:b/>
          <w:sz w:val="22"/>
        </w:rPr>
      </w:pPr>
    </w:p>
    <w:p w:rsidR="00D21901" w:rsidRDefault="00D21901" w:rsidP="00D21901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7C36CF">
        <w:rPr>
          <w:b/>
          <w:szCs w:val="24"/>
        </w:rPr>
        <w:t>25 września</w:t>
      </w:r>
      <w:r>
        <w:rPr>
          <w:b/>
          <w:szCs w:val="24"/>
        </w:rPr>
        <w:t xml:space="preserve"> do </w:t>
      </w:r>
      <w:r w:rsidR="007C36CF">
        <w:rPr>
          <w:b/>
          <w:szCs w:val="24"/>
        </w:rPr>
        <w:t>16</w:t>
      </w:r>
      <w:r>
        <w:rPr>
          <w:b/>
          <w:szCs w:val="24"/>
        </w:rPr>
        <w:t xml:space="preserve"> </w:t>
      </w:r>
      <w:r w:rsidR="007C36CF">
        <w:rPr>
          <w:b/>
          <w:szCs w:val="24"/>
        </w:rPr>
        <w:t xml:space="preserve">października </w:t>
      </w:r>
      <w:r w:rsidRPr="0081648B">
        <w:rPr>
          <w:b/>
          <w:szCs w:val="24"/>
        </w:rPr>
        <w:t>20</w:t>
      </w:r>
      <w:r>
        <w:rPr>
          <w:b/>
          <w:szCs w:val="24"/>
        </w:rPr>
        <w:t>18</w:t>
      </w:r>
      <w:r w:rsidRPr="0081648B">
        <w:rPr>
          <w:b/>
          <w:szCs w:val="24"/>
        </w:rPr>
        <w:t xml:space="preserve"> roku.</w:t>
      </w:r>
    </w:p>
    <w:p w:rsidR="00D21901" w:rsidRDefault="00D21901" w:rsidP="00D21901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D21901" w:rsidRDefault="00D21901" w:rsidP="00D21901"/>
    <w:p w:rsidR="00D21901" w:rsidRDefault="00D21901" w:rsidP="00D21901"/>
    <w:sectPr w:rsidR="00D21901" w:rsidSect="00AB6AA8">
      <w:footerReference w:type="default" r:id="rId7"/>
      <w:pgSz w:w="16838" w:h="11906" w:orient="landscape"/>
      <w:pgMar w:top="99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ED7" w:rsidRDefault="00832ED7" w:rsidP="00250C83">
      <w:pPr>
        <w:spacing w:line="240" w:lineRule="auto"/>
      </w:pPr>
      <w:r>
        <w:separator/>
      </w:r>
    </w:p>
  </w:endnote>
  <w:endnote w:type="continuationSeparator" w:id="0">
    <w:p w:rsidR="00832ED7" w:rsidRDefault="00832ED7" w:rsidP="00250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E301B8" w:rsidRPr="006A508A" w:rsidRDefault="00E301B8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7543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7543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B770D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543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7543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7543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B770D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543B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E301B8" w:rsidRDefault="00E301B8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ED7" w:rsidRDefault="00832ED7" w:rsidP="00250C83">
      <w:pPr>
        <w:spacing w:line="240" w:lineRule="auto"/>
      </w:pPr>
      <w:r>
        <w:separator/>
      </w:r>
    </w:p>
  </w:footnote>
  <w:footnote w:type="continuationSeparator" w:id="0">
    <w:p w:rsidR="00832ED7" w:rsidRDefault="00832ED7" w:rsidP="00250C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459D4"/>
    <w:multiLevelType w:val="hybridMultilevel"/>
    <w:tmpl w:val="AFD892F6"/>
    <w:lvl w:ilvl="0" w:tplc="1DB03F74">
      <w:start w:val="1"/>
      <w:numFmt w:val="decimal"/>
      <w:lvlText w:val="%1."/>
      <w:lvlJc w:val="left"/>
      <w:pPr>
        <w:ind w:left="1203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901"/>
    <w:rsid w:val="00050A4A"/>
    <w:rsid w:val="00063CA6"/>
    <w:rsid w:val="00072BA8"/>
    <w:rsid w:val="0007386B"/>
    <w:rsid w:val="0007396F"/>
    <w:rsid w:val="00073970"/>
    <w:rsid w:val="000A4925"/>
    <w:rsid w:val="000A4D9C"/>
    <w:rsid w:val="000C59A5"/>
    <w:rsid w:val="000F58CC"/>
    <w:rsid w:val="00154E56"/>
    <w:rsid w:val="001B773B"/>
    <w:rsid w:val="001E013B"/>
    <w:rsid w:val="00235CA0"/>
    <w:rsid w:val="002460B0"/>
    <w:rsid w:val="00250C83"/>
    <w:rsid w:val="002706BE"/>
    <w:rsid w:val="002743CF"/>
    <w:rsid w:val="00293889"/>
    <w:rsid w:val="00327BFC"/>
    <w:rsid w:val="00367243"/>
    <w:rsid w:val="00384DAE"/>
    <w:rsid w:val="003A1A71"/>
    <w:rsid w:val="003A4D2D"/>
    <w:rsid w:val="003C70BA"/>
    <w:rsid w:val="004545B8"/>
    <w:rsid w:val="00465CB4"/>
    <w:rsid w:val="004C1928"/>
    <w:rsid w:val="004D1A1A"/>
    <w:rsid w:val="004D30ED"/>
    <w:rsid w:val="00512E35"/>
    <w:rsid w:val="0051335D"/>
    <w:rsid w:val="00520D50"/>
    <w:rsid w:val="005231D6"/>
    <w:rsid w:val="00530C2D"/>
    <w:rsid w:val="00546AB1"/>
    <w:rsid w:val="00574550"/>
    <w:rsid w:val="005840E3"/>
    <w:rsid w:val="005A5B81"/>
    <w:rsid w:val="005C4768"/>
    <w:rsid w:val="00601C76"/>
    <w:rsid w:val="00621B7E"/>
    <w:rsid w:val="006C3F43"/>
    <w:rsid w:val="006D129F"/>
    <w:rsid w:val="007543B4"/>
    <w:rsid w:val="00771C06"/>
    <w:rsid w:val="00794312"/>
    <w:rsid w:val="007C36CF"/>
    <w:rsid w:val="00832ED7"/>
    <w:rsid w:val="0084288D"/>
    <w:rsid w:val="0084498E"/>
    <w:rsid w:val="00857341"/>
    <w:rsid w:val="008752E4"/>
    <w:rsid w:val="0088240D"/>
    <w:rsid w:val="008C3EAE"/>
    <w:rsid w:val="008D115F"/>
    <w:rsid w:val="008E4EB2"/>
    <w:rsid w:val="0097228C"/>
    <w:rsid w:val="009A6667"/>
    <w:rsid w:val="009B7C44"/>
    <w:rsid w:val="009C6CA9"/>
    <w:rsid w:val="009E5E2E"/>
    <w:rsid w:val="009F7F23"/>
    <w:rsid w:val="00A52164"/>
    <w:rsid w:val="00AB6AA8"/>
    <w:rsid w:val="00B13ED1"/>
    <w:rsid w:val="00B174A3"/>
    <w:rsid w:val="00B93A8C"/>
    <w:rsid w:val="00BB5D05"/>
    <w:rsid w:val="00BE75CC"/>
    <w:rsid w:val="00BF3D92"/>
    <w:rsid w:val="00C04E41"/>
    <w:rsid w:val="00C40819"/>
    <w:rsid w:val="00C41B06"/>
    <w:rsid w:val="00C54604"/>
    <w:rsid w:val="00C65170"/>
    <w:rsid w:val="00D118BA"/>
    <w:rsid w:val="00D21901"/>
    <w:rsid w:val="00DB770D"/>
    <w:rsid w:val="00DC6E3A"/>
    <w:rsid w:val="00DE4C62"/>
    <w:rsid w:val="00DF3333"/>
    <w:rsid w:val="00E25737"/>
    <w:rsid w:val="00E301B8"/>
    <w:rsid w:val="00E70A8C"/>
    <w:rsid w:val="00E95F9F"/>
    <w:rsid w:val="00EA6297"/>
    <w:rsid w:val="00F026D6"/>
    <w:rsid w:val="00F4776A"/>
    <w:rsid w:val="00F64BDA"/>
    <w:rsid w:val="00F84C2F"/>
    <w:rsid w:val="00FC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90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1901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219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901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050A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D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C3E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3EAE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12</cp:revision>
  <cp:lastPrinted>2018-09-19T07:32:00Z</cp:lastPrinted>
  <dcterms:created xsi:type="dcterms:W3CDTF">2018-09-18T09:28:00Z</dcterms:created>
  <dcterms:modified xsi:type="dcterms:W3CDTF">2018-09-19T07:58:00Z</dcterms:modified>
</cp:coreProperties>
</file>