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54B" w:rsidRPr="008534EA" w:rsidRDefault="0008654B" w:rsidP="0008654B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08654B" w:rsidRPr="00154A81" w:rsidRDefault="0008654B" w:rsidP="0008654B">
      <w:pPr>
        <w:jc w:val="center"/>
        <w:rPr>
          <w:b/>
          <w:sz w:val="14"/>
        </w:rPr>
      </w:pPr>
    </w:p>
    <w:p w:rsidR="0008654B" w:rsidRPr="00204603" w:rsidRDefault="0008654B" w:rsidP="0008654B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08654B" w:rsidRDefault="0008654B" w:rsidP="0008654B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08654B" w:rsidRPr="00154A81" w:rsidRDefault="0008654B" w:rsidP="0008654B">
      <w:pPr>
        <w:rPr>
          <w:sz w:val="14"/>
        </w:rPr>
      </w:pPr>
    </w:p>
    <w:tbl>
      <w:tblPr>
        <w:tblStyle w:val="Tabela-Siatka"/>
        <w:tblW w:w="14979" w:type="dxa"/>
        <w:jc w:val="center"/>
        <w:tblInd w:w="-905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6"/>
        <w:gridCol w:w="3117"/>
        <w:gridCol w:w="1701"/>
        <w:gridCol w:w="4820"/>
        <w:gridCol w:w="3544"/>
        <w:gridCol w:w="1181"/>
      </w:tblGrid>
      <w:tr w:rsidR="00492A79" w:rsidRPr="004C1967" w:rsidTr="00492A79">
        <w:trPr>
          <w:trHeight w:val="1153"/>
          <w:jc w:val="center"/>
        </w:trPr>
        <w:tc>
          <w:tcPr>
            <w:tcW w:w="6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08654B" w:rsidRPr="00C20098" w:rsidRDefault="0008654B" w:rsidP="00492A79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i oznaczenie nieruchomości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Default="001D182B" w:rsidP="005629B6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Powierz</w:t>
            </w:r>
            <w:r w:rsidR="0008654B" w:rsidRPr="00C20098">
              <w:rPr>
                <w:b/>
                <w:sz w:val="26"/>
                <w:szCs w:val="24"/>
              </w:rPr>
              <w:t>chnia</w:t>
            </w:r>
          </w:p>
          <w:p w:rsidR="0008654B" w:rsidRPr="00C20098" w:rsidRDefault="0008654B" w:rsidP="005629B6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1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800"/>
            <w:vAlign w:val="center"/>
          </w:tcPr>
          <w:p w:rsidR="0008654B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  <w:r w:rsidR="002D1157">
              <w:rPr>
                <w:b/>
                <w:sz w:val="26"/>
                <w:szCs w:val="24"/>
              </w:rPr>
              <w:t>brutto</w:t>
            </w:r>
          </w:p>
          <w:p w:rsidR="0008654B" w:rsidRPr="00C20098" w:rsidRDefault="0008654B" w:rsidP="005629B6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6F1B58" w:rsidRPr="00675941" w:rsidTr="00154A81">
        <w:trPr>
          <w:trHeight w:val="5328"/>
          <w:jc w:val="center"/>
        </w:trPr>
        <w:tc>
          <w:tcPr>
            <w:tcW w:w="616" w:type="dxa"/>
            <w:tcBorders>
              <w:top w:val="single" w:sz="4" w:space="0" w:color="auto"/>
              <w:left w:val="single" w:sz="12" w:space="0" w:color="00B050"/>
              <w:bottom w:val="single" w:sz="12" w:space="0" w:color="00B050"/>
              <w:right w:val="single" w:sz="4" w:space="0" w:color="auto"/>
            </w:tcBorders>
            <w:vAlign w:val="center"/>
          </w:tcPr>
          <w:p w:rsidR="006F1B58" w:rsidRPr="006F1B58" w:rsidRDefault="00FD49CF" w:rsidP="005629B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2" w:space="0" w:color="00B050"/>
            </w:tcBorders>
            <w:vAlign w:val="center"/>
          </w:tcPr>
          <w:p w:rsidR="006F1B58" w:rsidRDefault="006F1B58" w:rsidP="003876C2">
            <w:pPr>
              <w:ind w:firstLine="375"/>
              <w:jc w:val="left"/>
              <w:rPr>
                <w:rFonts w:eastAsia="Calibri" w:cs="Times New Roman"/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 xml:space="preserve">Nieruchomość </w:t>
            </w:r>
            <w:r w:rsidR="00E72FBE" w:rsidRPr="006F1B58">
              <w:rPr>
                <w:sz w:val="22"/>
              </w:rPr>
              <w:t>gruntowa zabudowana</w:t>
            </w:r>
            <w:r w:rsidR="00E72FBE" w:rsidRPr="000A052A">
              <w:rPr>
                <w:rFonts w:eastAsia="Calibri" w:cs="Times New Roman"/>
                <w:sz w:val="22"/>
              </w:rPr>
              <w:t xml:space="preserve"> </w:t>
            </w:r>
            <w:r w:rsidR="00E72FBE">
              <w:rPr>
                <w:rFonts w:eastAsia="Calibri" w:cs="Times New Roman"/>
                <w:sz w:val="22"/>
              </w:rPr>
              <w:t>położona w </w:t>
            </w:r>
            <w:r>
              <w:rPr>
                <w:rFonts w:eastAsia="Calibri" w:cs="Times New Roman"/>
                <w:sz w:val="22"/>
              </w:rPr>
              <w:t>M</w:t>
            </w:r>
            <w:r w:rsidRPr="000A052A">
              <w:rPr>
                <w:rFonts w:eastAsia="Calibri" w:cs="Times New Roman"/>
                <w:sz w:val="22"/>
              </w:rPr>
              <w:t>ierzyn</w:t>
            </w:r>
            <w:r>
              <w:rPr>
                <w:rFonts w:eastAsia="Calibri" w:cs="Times New Roman"/>
                <w:sz w:val="22"/>
              </w:rPr>
              <w:t>ie</w:t>
            </w:r>
            <w:r w:rsidR="001116CB">
              <w:rPr>
                <w:rFonts w:eastAsia="Calibri" w:cs="Times New Roman"/>
                <w:sz w:val="22"/>
              </w:rPr>
              <w:t xml:space="preserve"> nr</w:t>
            </w:r>
            <w:r w:rsidR="001116CB" w:rsidRPr="000A052A">
              <w:rPr>
                <w:rFonts w:eastAsia="Calibri" w:cs="Times New Roman"/>
                <w:sz w:val="22"/>
              </w:rPr>
              <w:t xml:space="preserve"> 64A</w:t>
            </w:r>
            <w:r>
              <w:rPr>
                <w:rFonts w:eastAsia="Calibri" w:cs="Times New Roman"/>
                <w:sz w:val="22"/>
              </w:rPr>
              <w:t xml:space="preserve">, </w:t>
            </w:r>
            <w:r w:rsidRPr="000A052A">
              <w:rPr>
                <w:rFonts w:eastAsia="Calibri" w:cs="Times New Roman"/>
                <w:sz w:val="22"/>
              </w:rPr>
              <w:t>gmin</w:t>
            </w:r>
            <w:r>
              <w:rPr>
                <w:rFonts w:eastAsia="Calibri" w:cs="Times New Roman"/>
                <w:sz w:val="22"/>
              </w:rPr>
              <w:t>a</w:t>
            </w:r>
            <w:r w:rsidRPr="000A052A">
              <w:rPr>
                <w:rFonts w:eastAsia="Calibri" w:cs="Times New Roman"/>
                <w:sz w:val="22"/>
              </w:rPr>
              <w:t xml:space="preserve"> Rozprza,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0A052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oznaczona w </w:t>
            </w:r>
            <w:r w:rsidRPr="000A052A">
              <w:rPr>
                <w:rFonts w:eastAsia="Calibri" w:cs="Times New Roman"/>
                <w:sz w:val="22"/>
              </w:rPr>
              <w:t>ew</w:t>
            </w:r>
            <w:r>
              <w:rPr>
                <w:rFonts w:eastAsia="Calibri" w:cs="Times New Roman"/>
                <w:sz w:val="22"/>
              </w:rPr>
              <w:t>idencji gruntów jako działki</w:t>
            </w:r>
            <w:r w:rsidR="001116CB">
              <w:rPr>
                <w:rFonts w:eastAsia="Calibri" w:cs="Times New Roman"/>
                <w:sz w:val="22"/>
              </w:rPr>
              <w:t>:</w:t>
            </w:r>
            <w:r>
              <w:rPr>
                <w:rFonts w:eastAsia="Calibri" w:cs="Times New Roman"/>
                <w:sz w:val="22"/>
              </w:rPr>
              <w:t xml:space="preserve"> nr 1208/5, 1209/5 i 1210/7 </w:t>
            </w:r>
            <w:r w:rsidRPr="000A052A">
              <w:rPr>
                <w:rFonts w:eastAsia="Calibri" w:cs="Times New Roman"/>
                <w:sz w:val="22"/>
              </w:rPr>
              <w:t xml:space="preserve">w obrębie </w:t>
            </w:r>
            <w:r w:rsidR="001116CB">
              <w:rPr>
                <w:rFonts w:eastAsia="Calibri" w:cs="Times New Roman"/>
                <w:sz w:val="22"/>
              </w:rPr>
              <w:t xml:space="preserve">nr 17 </w:t>
            </w:r>
            <w:r w:rsidRPr="000A052A">
              <w:rPr>
                <w:rFonts w:eastAsia="Calibri" w:cs="Times New Roman"/>
                <w:sz w:val="22"/>
              </w:rPr>
              <w:t>Mierzyn, dla której Sąd Rejonow</w:t>
            </w:r>
            <w:r>
              <w:rPr>
                <w:rFonts w:eastAsia="Calibri" w:cs="Times New Roman"/>
                <w:sz w:val="22"/>
              </w:rPr>
              <w:t>y</w:t>
            </w:r>
            <w:r w:rsidRPr="000A052A">
              <w:rPr>
                <w:rFonts w:eastAsia="Calibri" w:cs="Times New Roman"/>
                <w:sz w:val="22"/>
              </w:rPr>
              <w:t xml:space="preserve"> w</w:t>
            </w:r>
            <w:r w:rsidR="00CD0F50">
              <w:rPr>
                <w:rFonts w:eastAsia="Calibri" w:cs="Times New Roman"/>
                <w:sz w:val="22"/>
              </w:rPr>
              <w:t xml:space="preserve"> </w:t>
            </w:r>
            <w:r w:rsidRPr="000A052A">
              <w:rPr>
                <w:rFonts w:eastAsia="Calibri" w:cs="Times New Roman"/>
                <w:sz w:val="22"/>
              </w:rPr>
              <w:t xml:space="preserve">Piotrkowie </w:t>
            </w:r>
            <w:r>
              <w:rPr>
                <w:rFonts w:eastAsia="Calibri" w:cs="Times New Roman"/>
                <w:sz w:val="22"/>
              </w:rPr>
              <w:t>Trybunalskim prowadzi</w:t>
            </w:r>
            <w:r w:rsidRPr="000A052A">
              <w:rPr>
                <w:rFonts w:eastAsia="Calibri" w:cs="Times New Roman"/>
                <w:sz w:val="22"/>
              </w:rPr>
              <w:t xml:space="preserve"> księg</w:t>
            </w:r>
            <w:r>
              <w:rPr>
                <w:rFonts w:eastAsia="Calibri" w:cs="Times New Roman"/>
                <w:sz w:val="22"/>
              </w:rPr>
              <w:t>ę wieczystą</w:t>
            </w:r>
            <w:r w:rsidRPr="000A052A">
              <w:rPr>
                <w:rFonts w:eastAsia="Calibri" w:cs="Times New Roman"/>
                <w:sz w:val="22"/>
              </w:rPr>
              <w:t xml:space="preserve"> nr </w:t>
            </w:r>
            <w:r>
              <w:rPr>
                <w:rFonts w:eastAsia="Calibri" w:cs="Times New Roman"/>
                <w:sz w:val="22"/>
              </w:rPr>
              <w:t>PT1P/000</w:t>
            </w:r>
            <w:r w:rsidRPr="000A052A">
              <w:rPr>
                <w:rFonts w:eastAsia="Calibri" w:cs="Times New Roman"/>
                <w:sz w:val="22"/>
              </w:rPr>
              <w:t>69716</w:t>
            </w:r>
            <w:r>
              <w:rPr>
                <w:rFonts w:eastAsia="Calibri" w:cs="Times New Roman"/>
                <w:sz w:val="22"/>
              </w:rPr>
              <w:t>/9</w:t>
            </w:r>
            <w:r w:rsidRPr="000A052A">
              <w:rPr>
                <w:rFonts w:eastAsia="Calibri" w:cs="Times New Roman"/>
                <w:sz w:val="22"/>
              </w:rPr>
              <w:t>.</w:t>
            </w:r>
          </w:p>
          <w:p w:rsidR="006F1B58" w:rsidRDefault="006F1B58" w:rsidP="003876C2">
            <w:pPr>
              <w:ind w:firstLine="375"/>
              <w:jc w:val="left"/>
              <w:rPr>
                <w:sz w:val="22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B050"/>
            </w:tcBorders>
            <w:vAlign w:val="center"/>
          </w:tcPr>
          <w:p w:rsidR="006F1B58" w:rsidRDefault="006F1B58" w:rsidP="00FD4F2B">
            <w:pPr>
              <w:jc w:val="center"/>
              <w:rPr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>1,4832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12" w:space="0" w:color="00B050"/>
            </w:tcBorders>
            <w:vAlign w:val="center"/>
          </w:tcPr>
          <w:p w:rsidR="006F1B58" w:rsidRDefault="006F1B58" w:rsidP="003876C2">
            <w:pPr>
              <w:pStyle w:val="Tekstpodstawowywcity"/>
              <w:spacing w:line="240" w:lineRule="auto"/>
              <w:ind w:left="0" w:firstLine="289"/>
              <w:jc w:val="left"/>
              <w:rPr>
                <w:rFonts w:eastAsia="Calibri"/>
                <w:sz w:val="22"/>
              </w:rPr>
            </w:pPr>
            <w:r>
              <w:rPr>
                <w:spacing w:val="0"/>
                <w:sz w:val="22"/>
                <w:szCs w:val="22"/>
              </w:rPr>
              <w:t>Na n</w:t>
            </w:r>
            <w:r w:rsidRPr="000A052A">
              <w:rPr>
                <w:spacing w:val="0"/>
                <w:sz w:val="22"/>
                <w:szCs w:val="22"/>
              </w:rPr>
              <w:t>ieruchomoś</w:t>
            </w:r>
            <w:r>
              <w:rPr>
                <w:spacing w:val="0"/>
                <w:sz w:val="22"/>
                <w:szCs w:val="22"/>
              </w:rPr>
              <w:t>ci p</w:t>
            </w:r>
            <w:r w:rsidRPr="000A052A">
              <w:rPr>
                <w:rFonts w:eastAsia="Calibri"/>
                <w:sz w:val="22"/>
              </w:rPr>
              <w:t>osadowione są trzy</w:t>
            </w:r>
            <w:r>
              <w:rPr>
                <w:rFonts w:eastAsia="Calibri"/>
                <w:sz w:val="22"/>
              </w:rPr>
              <w:t xml:space="preserve"> wolnostojące, murowane budynki:</w:t>
            </w:r>
          </w:p>
          <w:p w:rsidR="006F1B58" w:rsidRDefault="006F1B58" w:rsidP="003876C2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Budynek główny</w:t>
            </w:r>
            <w:r w:rsidR="001D182B">
              <w:rPr>
                <w:rFonts w:eastAsia="Calibri"/>
                <w:sz w:val="22"/>
              </w:rPr>
              <w:t>,</w:t>
            </w:r>
            <w:r>
              <w:rPr>
                <w:rFonts w:eastAsia="Calibri"/>
                <w:sz w:val="22"/>
              </w:rPr>
              <w:t xml:space="preserve"> wielofunkcyjny;</w:t>
            </w:r>
            <w:r w:rsidRPr="000A052A">
              <w:rPr>
                <w:rFonts w:eastAsia="Calibri"/>
                <w:sz w:val="22"/>
              </w:rPr>
              <w:t xml:space="preserve"> </w:t>
            </w:r>
            <w:r w:rsidR="001116CB">
              <w:rPr>
                <w:rFonts w:eastAsia="Calibri"/>
                <w:sz w:val="22"/>
              </w:rPr>
              <w:t>dwukondygnacyjny</w:t>
            </w:r>
            <w:r>
              <w:rPr>
                <w:rFonts w:eastAsia="Calibri"/>
                <w:sz w:val="22"/>
              </w:rPr>
              <w:t>,</w:t>
            </w:r>
            <w:r w:rsidRPr="000A052A">
              <w:rPr>
                <w:rFonts w:eastAsia="Calibri"/>
                <w:sz w:val="22"/>
              </w:rPr>
              <w:t xml:space="preserve"> części</w:t>
            </w:r>
            <w:r>
              <w:rPr>
                <w:rFonts w:eastAsia="Calibri"/>
                <w:sz w:val="22"/>
              </w:rPr>
              <w:t>owo</w:t>
            </w:r>
            <w:r w:rsidRPr="000A052A">
              <w:rPr>
                <w:rFonts w:eastAsia="Calibri"/>
                <w:sz w:val="22"/>
              </w:rPr>
              <w:t xml:space="preserve"> podpiwnic</w:t>
            </w:r>
            <w:r>
              <w:rPr>
                <w:rFonts w:eastAsia="Calibri"/>
                <w:sz w:val="22"/>
              </w:rPr>
              <w:t>zony</w:t>
            </w:r>
            <w:r w:rsidR="001116CB">
              <w:rPr>
                <w:rFonts w:eastAsia="Calibri"/>
                <w:sz w:val="22"/>
              </w:rPr>
              <w:t>, w którym p</w:t>
            </w:r>
            <w:r w:rsidRPr="000A052A">
              <w:rPr>
                <w:rFonts w:eastAsia="Calibri"/>
                <w:sz w:val="22"/>
              </w:rPr>
              <w:t>ołożon</w:t>
            </w:r>
            <w:r w:rsidR="001116CB">
              <w:rPr>
                <w:rFonts w:eastAsia="Calibri"/>
                <w:sz w:val="22"/>
              </w:rPr>
              <w:t>ych jest</w:t>
            </w:r>
            <w:r w:rsidRPr="000A052A">
              <w:rPr>
                <w:rFonts w:eastAsia="Calibri"/>
                <w:sz w:val="22"/>
              </w:rPr>
              <w:t xml:space="preserve"> </w:t>
            </w:r>
            <w:r w:rsidR="001116CB">
              <w:rPr>
                <w:rFonts w:eastAsia="Calibri"/>
                <w:sz w:val="22"/>
              </w:rPr>
              <w:t xml:space="preserve">10 </w:t>
            </w:r>
            <w:r w:rsidR="001116CB" w:rsidRPr="000A052A">
              <w:rPr>
                <w:rFonts w:eastAsia="Calibri"/>
                <w:sz w:val="22"/>
              </w:rPr>
              <w:t>pokoi</w:t>
            </w:r>
            <w:r w:rsidR="001116CB">
              <w:rPr>
                <w:rFonts w:eastAsia="Calibri"/>
                <w:sz w:val="22"/>
              </w:rPr>
              <w:t xml:space="preserve"> gościnnych,</w:t>
            </w:r>
            <w:r w:rsidRPr="000A052A">
              <w:rPr>
                <w:rFonts w:eastAsia="Calibri"/>
                <w:sz w:val="22"/>
              </w:rPr>
              <w:t xml:space="preserve"> </w:t>
            </w:r>
            <w:r w:rsidR="003D0C00">
              <w:rPr>
                <w:rFonts w:eastAsia="Calibri"/>
                <w:sz w:val="22"/>
              </w:rPr>
              <w:t>2</w:t>
            </w:r>
            <w:r w:rsidRPr="000A052A">
              <w:rPr>
                <w:rFonts w:eastAsia="Calibri"/>
                <w:sz w:val="22"/>
              </w:rPr>
              <w:t xml:space="preserve"> lokale mieszkalne, </w:t>
            </w:r>
            <w:r w:rsidR="001116CB">
              <w:rPr>
                <w:rFonts w:eastAsia="Calibri"/>
                <w:sz w:val="22"/>
              </w:rPr>
              <w:t>sala konferencyjna</w:t>
            </w:r>
            <w:r w:rsidR="001116CB" w:rsidRPr="000A052A">
              <w:rPr>
                <w:rFonts w:eastAsia="Calibri"/>
                <w:sz w:val="22"/>
              </w:rPr>
              <w:t xml:space="preserve"> z</w:t>
            </w:r>
            <w:r w:rsidR="001116CB">
              <w:rPr>
                <w:rFonts w:eastAsia="Calibri"/>
                <w:sz w:val="22"/>
              </w:rPr>
              <w:t xml:space="preserve"> zapleczem kuchennym, hall i sanitariaty. W piwnicy znajdują się, </w:t>
            </w:r>
            <w:r>
              <w:rPr>
                <w:rFonts w:eastAsia="Calibri"/>
                <w:sz w:val="22"/>
              </w:rPr>
              <w:t>pomieszczenia</w:t>
            </w:r>
            <w:r w:rsidR="001116CB">
              <w:rPr>
                <w:rFonts w:eastAsia="Calibri"/>
                <w:sz w:val="22"/>
              </w:rPr>
              <w:t xml:space="preserve"> gospodarcze, kotłownia i hydrofornia oraz sauna, natryski i szatnia</w:t>
            </w:r>
            <w:r w:rsidR="00154A81">
              <w:rPr>
                <w:rFonts w:eastAsia="Calibri"/>
                <w:sz w:val="22"/>
              </w:rPr>
              <w:t>.</w:t>
            </w:r>
            <w:r w:rsidRPr="000A052A">
              <w:rPr>
                <w:rFonts w:eastAsia="Calibri"/>
                <w:sz w:val="22"/>
              </w:rPr>
              <w:t xml:space="preserve"> Powierzchnia</w:t>
            </w:r>
            <w:r w:rsidR="009E1702">
              <w:rPr>
                <w:rFonts w:eastAsia="Calibri"/>
                <w:sz w:val="22"/>
              </w:rPr>
              <w:t xml:space="preserve"> netto</w:t>
            </w:r>
            <w:r w:rsidRPr="000A052A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 xml:space="preserve">wynosi </w:t>
            </w:r>
            <w:r w:rsidRPr="000A052A">
              <w:rPr>
                <w:rFonts w:eastAsia="Calibri"/>
                <w:sz w:val="22"/>
              </w:rPr>
              <w:t>113</w:t>
            </w:r>
            <w:r w:rsidR="00FA4D60">
              <w:rPr>
                <w:rFonts w:eastAsia="Calibri"/>
                <w:sz w:val="22"/>
              </w:rPr>
              <w:t>5</w:t>
            </w:r>
            <w:r>
              <w:rPr>
                <w:rFonts w:eastAsia="Calibri"/>
                <w:sz w:val="22"/>
              </w:rPr>
              <w:t>,</w:t>
            </w:r>
            <w:r w:rsidR="00FA4D60">
              <w:rPr>
                <w:rFonts w:eastAsia="Calibri"/>
                <w:sz w:val="22"/>
              </w:rPr>
              <w:t>90</w:t>
            </w:r>
            <w:r w:rsidRPr="000A052A">
              <w:rPr>
                <w:rFonts w:eastAsia="Calibri"/>
                <w:sz w:val="22"/>
              </w:rPr>
              <w:t> m</w:t>
            </w:r>
            <w:r w:rsidRPr="000A052A">
              <w:rPr>
                <w:rFonts w:eastAsia="Calibri"/>
                <w:sz w:val="22"/>
                <w:vertAlign w:val="superscript"/>
              </w:rPr>
              <w:t>2</w:t>
            </w:r>
            <w:r w:rsidRPr="000A052A">
              <w:rPr>
                <w:rFonts w:eastAsia="Calibri"/>
                <w:sz w:val="22"/>
              </w:rPr>
              <w:t>.</w:t>
            </w:r>
          </w:p>
          <w:p w:rsidR="006F1B58" w:rsidRPr="00B80E9C" w:rsidRDefault="006F1B58" w:rsidP="003876C2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jc w:val="left"/>
              <w:rPr>
                <w:rFonts w:eastAsia="Calibri"/>
                <w:sz w:val="22"/>
              </w:rPr>
            </w:pPr>
            <w:r w:rsidRPr="00B80E9C">
              <w:rPr>
                <w:sz w:val="22"/>
              </w:rPr>
              <w:t xml:space="preserve">Budynek </w:t>
            </w:r>
            <w:r>
              <w:rPr>
                <w:sz w:val="22"/>
              </w:rPr>
              <w:t xml:space="preserve">parterowy, </w:t>
            </w:r>
            <w:r w:rsidRPr="00B80E9C">
              <w:rPr>
                <w:sz w:val="22"/>
              </w:rPr>
              <w:t>garażowo-warsztatowy</w:t>
            </w:r>
            <w:r>
              <w:rPr>
                <w:sz w:val="22"/>
              </w:rPr>
              <w:t>,</w:t>
            </w:r>
            <w:r w:rsidR="00154A81">
              <w:rPr>
                <w:sz w:val="22"/>
              </w:rPr>
              <w:t xml:space="preserve"> w którym są 3 pomieszczenia garażowe i pomieszczenie gospodarcze. Budynek ma </w:t>
            </w:r>
            <w:r w:rsidR="00154A81">
              <w:rPr>
                <w:rFonts w:eastAsia="Calibri"/>
                <w:sz w:val="22"/>
              </w:rPr>
              <w:t xml:space="preserve"> </w:t>
            </w:r>
            <w:r w:rsidRPr="00B80E9C">
              <w:rPr>
                <w:sz w:val="22"/>
              </w:rPr>
              <w:t>110</w:t>
            </w:r>
            <w:r>
              <w:rPr>
                <w:sz w:val="22"/>
              </w:rPr>
              <w:t>,50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  <w:r w:rsidR="003D0C00">
              <w:rPr>
                <w:sz w:val="22"/>
              </w:rPr>
              <w:t xml:space="preserve"> powierzchni netto.</w:t>
            </w:r>
          </w:p>
          <w:p w:rsidR="006F1B58" w:rsidRPr="00B80E9C" w:rsidRDefault="00154A81" w:rsidP="003876C2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jc w:val="left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Budynek portierni, w </w:t>
            </w:r>
            <w:r w:rsidR="003D0C00">
              <w:rPr>
                <w:rFonts w:eastAsia="Calibri"/>
                <w:sz w:val="22"/>
              </w:rPr>
              <w:t xml:space="preserve">skład </w:t>
            </w:r>
            <w:r>
              <w:rPr>
                <w:rFonts w:eastAsia="Calibri"/>
                <w:sz w:val="22"/>
              </w:rPr>
              <w:t>któr</w:t>
            </w:r>
            <w:r w:rsidR="003D0C00">
              <w:rPr>
                <w:rFonts w:eastAsia="Calibri"/>
                <w:sz w:val="22"/>
              </w:rPr>
              <w:t>ego</w:t>
            </w:r>
            <w:r>
              <w:rPr>
                <w:rFonts w:eastAsia="Calibri"/>
                <w:sz w:val="22"/>
              </w:rPr>
              <w:t xml:space="preserve"> </w:t>
            </w:r>
            <w:r w:rsidR="003D0C00">
              <w:rPr>
                <w:rFonts w:eastAsia="Calibri"/>
                <w:sz w:val="22"/>
              </w:rPr>
              <w:t>wchodzą</w:t>
            </w:r>
            <w:r>
              <w:rPr>
                <w:rFonts w:eastAsia="Calibri"/>
                <w:sz w:val="22"/>
              </w:rPr>
              <w:t>:  wiatrołap, portiernia,, łazienka, pomieszczenie socjalne i rozdzielnia elektryczna.</w:t>
            </w:r>
            <w:r>
              <w:rPr>
                <w:sz w:val="22"/>
              </w:rPr>
              <w:t xml:space="preserve"> Budynek </w:t>
            </w:r>
            <w:r w:rsidR="006F1B58" w:rsidRPr="00B80E9C">
              <w:rPr>
                <w:sz w:val="22"/>
              </w:rPr>
              <w:t>o powierzchni</w:t>
            </w:r>
            <w:r w:rsidR="009E1702">
              <w:rPr>
                <w:sz w:val="22"/>
              </w:rPr>
              <w:t xml:space="preserve"> netto</w:t>
            </w:r>
            <w:r w:rsidR="006F1B58" w:rsidRPr="00B80E9C">
              <w:rPr>
                <w:sz w:val="22"/>
              </w:rPr>
              <w:t xml:space="preserve"> 35</w:t>
            </w:r>
            <w:r w:rsidR="006F1B58">
              <w:rPr>
                <w:sz w:val="22"/>
              </w:rPr>
              <w:t>,90</w:t>
            </w:r>
            <w:r w:rsidR="006F1B58" w:rsidRPr="00B80E9C">
              <w:rPr>
                <w:sz w:val="22"/>
              </w:rPr>
              <w:t> m</w:t>
            </w:r>
            <w:r w:rsidR="006F1B58" w:rsidRPr="00B80E9C">
              <w:rPr>
                <w:sz w:val="22"/>
                <w:vertAlign w:val="superscript"/>
              </w:rPr>
              <w:t>2</w:t>
            </w:r>
            <w:r w:rsidR="006F1B58" w:rsidRPr="00B80E9C">
              <w:rPr>
                <w:sz w:val="22"/>
              </w:rPr>
              <w:t>.</w:t>
            </w:r>
          </w:p>
          <w:p w:rsidR="006F1B58" w:rsidRDefault="006F1B58" w:rsidP="003876C2">
            <w:pPr>
              <w:ind w:firstLine="484"/>
              <w:jc w:val="left"/>
              <w:rPr>
                <w:sz w:val="22"/>
              </w:rPr>
            </w:pPr>
            <w:r w:rsidRPr="00B80E9C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przyłączona jest do sieci </w:t>
            </w:r>
            <w:r w:rsidRPr="00B80E9C">
              <w:rPr>
                <w:sz w:val="22"/>
              </w:rPr>
              <w:t>elektryczn</w:t>
            </w:r>
            <w:r>
              <w:rPr>
                <w:sz w:val="22"/>
              </w:rPr>
              <w:t>ej,</w:t>
            </w:r>
            <w:r w:rsidRPr="00B80E9C">
              <w:rPr>
                <w:sz w:val="22"/>
              </w:rPr>
              <w:t xml:space="preserve"> posiada studnię głębinową, kanalizację lokalną, ogrzewanie lokalne olejowe i elektryczne.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00B050"/>
            </w:tcBorders>
            <w:vAlign w:val="center"/>
          </w:tcPr>
          <w:p w:rsidR="006F1B58" w:rsidRDefault="006F1B58" w:rsidP="003876C2">
            <w:pPr>
              <w:ind w:firstLine="317"/>
              <w:jc w:val="left"/>
              <w:rPr>
                <w:sz w:val="22"/>
              </w:rPr>
            </w:pPr>
            <w:r>
              <w:rPr>
                <w:sz w:val="22"/>
              </w:rPr>
              <w:t xml:space="preserve">Nieruchomość nie jest objęta aktualnym </w:t>
            </w:r>
            <w:r w:rsidR="00154A81">
              <w:rPr>
                <w:sz w:val="22"/>
              </w:rPr>
              <w:t xml:space="preserve">miejscowym </w:t>
            </w:r>
            <w:r>
              <w:rPr>
                <w:sz w:val="22"/>
              </w:rPr>
              <w:t>planem zagospodarowania przestrzennego.</w:t>
            </w:r>
          </w:p>
          <w:p w:rsidR="006F1B58" w:rsidRDefault="006F1B58" w:rsidP="003D0C00">
            <w:pPr>
              <w:ind w:firstLine="317"/>
              <w:jc w:val="left"/>
              <w:rPr>
                <w:sz w:val="22"/>
              </w:rPr>
            </w:pPr>
            <w:r>
              <w:rPr>
                <w:sz w:val="22"/>
              </w:rPr>
              <w:t>Zgodnie z obowiązu</w:t>
            </w:r>
            <w:r w:rsidR="001D182B">
              <w:rPr>
                <w:sz w:val="22"/>
              </w:rPr>
              <w:t xml:space="preserve">jącym studium uwarunkowań </w:t>
            </w:r>
            <w:r w:rsidR="00154A81">
              <w:rPr>
                <w:sz w:val="22"/>
              </w:rPr>
              <w:t xml:space="preserve">i kierunków </w:t>
            </w:r>
            <w:r w:rsidR="001D182B">
              <w:rPr>
                <w:sz w:val="22"/>
              </w:rPr>
              <w:t>zagos</w:t>
            </w:r>
            <w:r>
              <w:rPr>
                <w:sz w:val="22"/>
              </w:rPr>
              <w:t>podarowania przestrzennego (uchwała Rady Gminy Rozprza nr XXIII/35/17 z dnia</w:t>
            </w:r>
            <w:r w:rsidR="003D0C00">
              <w:rPr>
                <w:sz w:val="22"/>
              </w:rPr>
              <w:t xml:space="preserve"> 17.05.2017 r.) leży na terenie o podstawowym przeznaczeniu dla usług</w:t>
            </w:r>
            <w:r>
              <w:rPr>
                <w:sz w:val="22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00C800"/>
              <w:right w:val="single" w:sz="12" w:space="0" w:color="00B050"/>
            </w:tcBorders>
            <w:vAlign w:val="center"/>
          </w:tcPr>
          <w:p w:rsidR="006F1B58" w:rsidRDefault="006F1B58" w:rsidP="001D182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  <w:r w:rsidR="001D182B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>00.000</w:t>
            </w:r>
          </w:p>
        </w:tc>
      </w:tr>
    </w:tbl>
    <w:p w:rsidR="0008654B" w:rsidRPr="00154A81" w:rsidRDefault="0008654B" w:rsidP="0008654B">
      <w:pPr>
        <w:jc w:val="center"/>
        <w:rPr>
          <w:b/>
          <w:sz w:val="14"/>
          <w:szCs w:val="24"/>
        </w:rPr>
      </w:pP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1D182B">
        <w:rPr>
          <w:b/>
          <w:sz w:val="26"/>
          <w:szCs w:val="24"/>
        </w:rPr>
        <w:t>8</w:t>
      </w:r>
      <w:r>
        <w:rPr>
          <w:b/>
          <w:sz w:val="26"/>
          <w:szCs w:val="24"/>
        </w:rPr>
        <w:t xml:space="preserve"> do</w:t>
      </w:r>
      <w:r w:rsidRPr="00A55D89">
        <w:rPr>
          <w:b/>
          <w:sz w:val="26"/>
          <w:szCs w:val="24"/>
        </w:rPr>
        <w:t xml:space="preserve"> </w:t>
      </w:r>
      <w:r w:rsidR="00492A79">
        <w:rPr>
          <w:b/>
          <w:sz w:val="26"/>
          <w:szCs w:val="24"/>
        </w:rPr>
        <w:t>29</w:t>
      </w:r>
      <w:r w:rsidRPr="00A55D89">
        <w:rPr>
          <w:b/>
          <w:sz w:val="26"/>
          <w:szCs w:val="24"/>
        </w:rPr>
        <w:t xml:space="preserve"> </w:t>
      </w:r>
      <w:r w:rsidR="00492A79">
        <w:rPr>
          <w:b/>
          <w:sz w:val="26"/>
          <w:szCs w:val="24"/>
        </w:rPr>
        <w:t xml:space="preserve">grudnia </w:t>
      </w:r>
      <w:r w:rsidRPr="00A55D89">
        <w:rPr>
          <w:b/>
          <w:sz w:val="26"/>
          <w:szCs w:val="24"/>
        </w:rPr>
        <w:t>20</w:t>
      </w:r>
      <w:r w:rsidR="00492A79">
        <w:rPr>
          <w:b/>
          <w:sz w:val="26"/>
          <w:szCs w:val="24"/>
        </w:rPr>
        <w:t>20</w:t>
      </w:r>
      <w:r w:rsidRPr="00A55D89">
        <w:rPr>
          <w:b/>
          <w:sz w:val="26"/>
          <w:szCs w:val="24"/>
        </w:rPr>
        <w:t xml:space="preserve"> roku.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492A79">
        <w:rPr>
          <w:b/>
          <w:sz w:val="26"/>
          <w:szCs w:val="24"/>
        </w:rPr>
        <w:t>19</w:t>
      </w:r>
      <w:r w:rsidRPr="00A55D89">
        <w:rPr>
          <w:b/>
          <w:sz w:val="26"/>
          <w:szCs w:val="24"/>
        </w:rPr>
        <w:t xml:space="preserve"> </w:t>
      </w:r>
      <w:r w:rsidR="00492A79">
        <w:rPr>
          <w:b/>
          <w:sz w:val="26"/>
          <w:szCs w:val="24"/>
        </w:rPr>
        <w:t xml:space="preserve">stycznia </w:t>
      </w:r>
      <w:r>
        <w:rPr>
          <w:b/>
          <w:sz w:val="26"/>
          <w:szCs w:val="24"/>
        </w:rPr>
        <w:t>20</w:t>
      </w:r>
      <w:r w:rsidR="00492A79">
        <w:rPr>
          <w:b/>
          <w:sz w:val="26"/>
          <w:szCs w:val="24"/>
        </w:rPr>
        <w:t>21</w:t>
      </w:r>
      <w:r w:rsidRPr="00A55D89">
        <w:rPr>
          <w:b/>
          <w:sz w:val="26"/>
          <w:szCs w:val="24"/>
        </w:rPr>
        <w:t xml:space="preserve"> roku.</w:t>
      </w:r>
    </w:p>
    <w:p w:rsidR="0008654B" w:rsidRPr="00A55D89" w:rsidRDefault="0008654B" w:rsidP="0008654B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sectPr w:rsidR="0008654B" w:rsidRPr="00A55D89" w:rsidSect="00154A81">
      <w:footerReference w:type="default" r:id="rId7"/>
      <w:pgSz w:w="16838" w:h="11906" w:orient="landscape"/>
      <w:pgMar w:top="709" w:right="678" w:bottom="567" w:left="709" w:header="426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AED" w:rsidRDefault="007C3AED" w:rsidP="001B3B36">
      <w:pPr>
        <w:spacing w:line="240" w:lineRule="auto"/>
      </w:pPr>
      <w:r>
        <w:separator/>
      </w:r>
    </w:p>
  </w:endnote>
  <w:endnote w:type="continuationSeparator" w:id="0">
    <w:p w:rsidR="007C3AED" w:rsidRDefault="007C3AED" w:rsidP="001B3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EA530A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D0C0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3D0C0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695241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AED" w:rsidRDefault="007C3AED" w:rsidP="001B3B36">
      <w:pPr>
        <w:spacing w:line="240" w:lineRule="auto"/>
      </w:pPr>
      <w:r>
        <w:separator/>
      </w:r>
    </w:p>
  </w:footnote>
  <w:footnote w:type="continuationSeparator" w:id="0">
    <w:p w:rsidR="007C3AED" w:rsidRDefault="007C3AED" w:rsidP="001B3B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48"/>
    <w:multiLevelType w:val="hybridMultilevel"/>
    <w:tmpl w:val="5C581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54B"/>
    <w:rsid w:val="00063CA6"/>
    <w:rsid w:val="0007386B"/>
    <w:rsid w:val="0007396F"/>
    <w:rsid w:val="0008654B"/>
    <w:rsid w:val="000A4925"/>
    <w:rsid w:val="000A4D9C"/>
    <w:rsid w:val="000F68AA"/>
    <w:rsid w:val="001116CB"/>
    <w:rsid w:val="001371A0"/>
    <w:rsid w:val="001504A6"/>
    <w:rsid w:val="00154A81"/>
    <w:rsid w:val="00154E56"/>
    <w:rsid w:val="001B3B36"/>
    <w:rsid w:val="001D151F"/>
    <w:rsid w:val="001D182B"/>
    <w:rsid w:val="001D552A"/>
    <w:rsid w:val="001E013B"/>
    <w:rsid w:val="00235CA0"/>
    <w:rsid w:val="002D1157"/>
    <w:rsid w:val="002D4381"/>
    <w:rsid w:val="00305B6B"/>
    <w:rsid w:val="00367243"/>
    <w:rsid w:val="003876C2"/>
    <w:rsid w:val="003A4D2D"/>
    <w:rsid w:val="003D0C00"/>
    <w:rsid w:val="004403CE"/>
    <w:rsid w:val="00465CB4"/>
    <w:rsid w:val="0047007C"/>
    <w:rsid w:val="00492A79"/>
    <w:rsid w:val="004C1928"/>
    <w:rsid w:val="004D1A1A"/>
    <w:rsid w:val="004F7835"/>
    <w:rsid w:val="0050585C"/>
    <w:rsid w:val="00512E35"/>
    <w:rsid w:val="00530C2D"/>
    <w:rsid w:val="005409DB"/>
    <w:rsid w:val="00546AB1"/>
    <w:rsid w:val="005A5B81"/>
    <w:rsid w:val="005C4768"/>
    <w:rsid w:val="005F50DD"/>
    <w:rsid w:val="00601C76"/>
    <w:rsid w:val="006147F7"/>
    <w:rsid w:val="00621B7E"/>
    <w:rsid w:val="00671975"/>
    <w:rsid w:val="00695241"/>
    <w:rsid w:val="006F1B58"/>
    <w:rsid w:val="00771C06"/>
    <w:rsid w:val="00794312"/>
    <w:rsid w:val="00797A91"/>
    <w:rsid w:val="007C3AED"/>
    <w:rsid w:val="008752E4"/>
    <w:rsid w:val="008E4EB2"/>
    <w:rsid w:val="008F5633"/>
    <w:rsid w:val="009274E0"/>
    <w:rsid w:val="0097228C"/>
    <w:rsid w:val="009A22A0"/>
    <w:rsid w:val="009A6667"/>
    <w:rsid w:val="009C6CA9"/>
    <w:rsid w:val="009E1702"/>
    <w:rsid w:val="009E6F31"/>
    <w:rsid w:val="009F7F23"/>
    <w:rsid w:val="00A50DC4"/>
    <w:rsid w:val="00A52164"/>
    <w:rsid w:val="00A970C8"/>
    <w:rsid w:val="00AD174D"/>
    <w:rsid w:val="00B13ED1"/>
    <w:rsid w:val="00B174A3"/>
    <w:rsid w:val="00CD0F50"/>
    <w:rsid w:val="00CE6609"/>
    <w:rsid w:val="00D118BA"/>
    <w:rsid w:val="00DC6E3A"/>
    <w:rsid w:val="00E25737"/>
    <w:rsid w:val="00E579A7"/>
    <w:rsid w:val="00E72FBE"/>
    <w:rsid w:val="00EA530A"/>
    <w:rsid w:val="00EA6297"/>
    <w:rsid w:val="00EF00F1"/>
    <w:rsid w:val="00F026D6"/>
    <w:rsid w:val="00F0482B"/>
    <w:rsid w:val="00F4776A"/>
    <w:rsid w:val="00F84C2F"/>
    <w:rsid w:val="00FA4D60"/>
    <w:rsid w:val="00FD49CF"/>
    <w:rsid w:val="00FE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54B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654B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8654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54B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08654B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654B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F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54A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54A8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7</cp:revision>
  <cp:lastPrinted>2020-12-01T13:55:00Z</cp:lastPrinted>
  <dcterms:created xsi:type="dcterms:W3CDTF">2020-12-01T08:02:00Z</dcterms:created>
  <dcterms:modified xsi:type="dcterms:W3CDTF">2020-12-01T14:11:00Z</dcterms:modified>
</cp:coreProperties>
</file>