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88" w:rsidRDefault="001F2A88" w:rsidP="001F2A8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OPIS KRYTERIÓW OCENY OFERT WRAZ Z PODANIEM WAG TYCH KKRYTERIÓW I SPOSOBU OCENY OFERT </w:t>
      </w:r>
    </w:p>
    <w:p w:rsidR="001F2A88" w:rsidRDefault="001F2A88" w:rsidP="001F2A88">
      <w:pPr>
        <w:rPr>
          <w:b/>
          <w:szCs w:val="20"/>
        </w:rPr>
      </w:pPr>
    </w:p>
    <w:p w:rsidR="001F2A88" w:rsidRDefault="001F2A88" w:rsidP="001F2A88">
      <w:pPr>
        <w:pStyle w:val="Tekstpodstawowywcity"/>
        <w:spacing w:before="0"/>
        <w:rPr>
          <w:rFonts w:cs="Arial"/>
          <w:b w:val="0"/>
          <w:sz w:val="20"/>
          <w:szCs w:val="20"/>
        </w:rPr>
      </w:pPr>
      <w:r>
        <w:rPr>
          <w:rFonts w:eastAsia="MS Mincho" w:cs="Arial"/>
          <w:b w:val="0"/>
          <w:sz w:val="20"/>
          <w:szCs w:val="20"/>
        </w:rPr>
        <w:t xml:space="preserve">     Zamawiający wyznaczył następujące kryterium oceny ofert oraz ustalił jego znaczenie.</w:t>
      </w:r>
    </w:p>
    <w:p w:rsidR="001F2A88" w:rsidRDefault="001F2A88" w:rsidP="001F2A88">
      <w:pPr>
        <w:pStyle w:val="Tekstpodstawowywcity"/>
        <w:spacing w:before="0"/>
        <w:ind w:left="900" w:hanging="540"/>
        <w:rPr>
          <w:b w:val="0"/>
          <w:sz w:val="20"/>
          <w:szCs w:val="20"/>
        </w:rPr>
      </w:pPr>
      <w:r>
        <w:rPr>
          <w:rFonts w:eastAsia="MS Mincho"/>
          <w:b w:val="0"/>
          <w:sz w:val="20"/>
          <w:szCs w:val="20"/>
        </w:rPr>
        <w:t xml:space="preserve">a)  </w:t>
      </w:r>
      <w:r>
        <w:rPr>
          <w:rFonts w:eastAsia="MS Mincho"/>
          <w:sz w:val="20"/>
          <w:szCs w:val="20"/>
        </w:rPr>
        <w:t>J</w:t>
      </w:r>
      <w:r>
        <w:rPr>
          <w:b w:val="0"/>
          <w:sz w:val="20"/>
          <w:szCs w:val="20"/>
        </w:rPr>
        <w:t xml:space="preserve">ako kryterium wyboru oferty przyjmuje się najkorzystniejszy bilans punktów przyznanych                  w oparciu o kryteria: „cena”, „wysokość rabatu”. </w:t>
      </w:r>
    </w:p>
    <w:p w:rsidR="001F2A88" w:rsidRDefault="001F2A88" w:rsidP="001F2A88">
      <w:pPr>
        <w:pStyle w:val="Tekstpodstawowywcity"/>
        <w:spacing w:before="0"/>
        <w:ind w:left="900" w:hanging="540"/>
        <w:rPr>
          <w:rFonts w:eastAsia="MS Mincho" w:cs="Arial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Oferty będą oceniane wg nw. kryteriów, którym przyporządkowano następujące wagi</w:t>
      </w:r>
    </w:p>
    <w:tbl>
      <w:tblPr>
        <w:tblW w:w="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844"/>
        <w:gridCol w:w="2009"/>
      </w:tblGrid>
      <w:tr w:rsidR="001F2A88" w:rsidTr="001F2A88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Kryterium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Znaczenie w %</w:t>
            </w:r>
          </w:p>
        </w:tc>
      </w:tr>
      <w:tr w:rsidR="001F2A88" w:rsidTr="001F2A88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Cena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60 %</w:t>
            </w:r>
          </w:p>
        </w:tc>
      </w:tr>
      <w:tr w:rsidR="001F2A88" w:rsidTr="001F2A88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Wysokość rabatu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40 %</w:t>
            </w:r>
          </w:p>
        </w:tc>
      </w:tr>
      <w:tr w:rsidR="001F2A88" w:rsidTr="001F2A88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A88" w:rsidRDefault="001F2A88">
            <w:pPr>
              <w:suppressAutoHyphens/>
              <w:rPr>
                <w:rFonts w:eastAsia="MS Mincho" w:cs="Arial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RAZEM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2A88" w:rsidRDefault="001F2A88">
            <w:pPr>
              <w:suppressAutoHyphens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100 %</w:t>
            </w:r>
          </w:p>
        </w:tc>
      </w:tr>
    </w:tbl>
    <w:p w:rsidR="001F2A88" w:rsidRDefault="001F2A88" w:rsidP="001F2A88">
      <w:pPr>
        <w:pStyle w:val="Tekstpodstawowywcity"/>
        <w:spacing w:before="0"/>
        <w:ind w:left="357"/>
        <w:rPr>
          <w:rFonts w:cs="Arial"/>
          <w:b w:val="0"/>
          <w:sz w:val="20"/>
          <w:szCs w:val="20"/>
        </w:rPr>
      </w:pPr>
    </w:p>
    <w:p w:rsidR="001F2A88" w:rsidRDefault="001F2A88" w:rsidP="001F2A88">
      <w:pPr>
        <w:pStyle w:val="Tekstpodstawowywcity"/>
        <w:spacing w:before="0"/>
        <w:ind w:left="900" w:hanging="540"/>
        <w:rPr>
          <w:rFonts w:cs="Arial"/>
          <w:b w:val="0"/>
          <w:sz w:val="20"/>
          <w:szCs w:val="20"/>
        </w:rPr>
      </w:pPr>
    </w:p>
    <w:p w:rsidR="001F2A88" w:rsidRDefault="001F2A88" w:rsidP="001F2A88">
      <w:pPr>
        <w:spacing w:line="240" w:lineRule="auto"/>
        <w:ind w:firstLine="360"/>
        <w:rPr>
          <w:rFonts w:cs="Arial"/>
          <w:b/>
        </w:rPr>
      </w:pPr>
      <w:r>
        <w:rPr>
          <w:rFonts w:cs="Arial"/>
        </w:rPr>
        <w:t xml:space="preserve">b)     </w:t>
      </w:r>
      <w:r>
        <w:rPr>
          <w:rFonts w:cs="Arial"/>
          <w:b/>
        </w:rPr>
        <w:t xml:space="preserve"> </w:t>
      </w:r>
      <w:r>
        <w:rPr>
          <w:rFonts w:cs="Arial"/>
          <w:bCs/>
          <w:spacing w:val="-3"/>
        </w:rPr>
        <w:t>Z</w:t>
      </w:r>
      <w:r>
        <w:rPr>
          <w:rFonts w:cs="Arial"/>
          <w:bCs/>
          <w:spacing w:val="4"/>
        </w:rPr>
        <w:t>a</w:t>
      </w:r>
      <w:r>
        <w:rPr>
          <w:rFonts w:cs="Arial"/>
          <w:bCs/>
          <w:spacing w:val="-1"/>
        </w:rPr>
        <w:t>s</w:t>
      </w:r>
      <w:r>
        <w:rPr>
          <w:rFonts w:cs="Arial"/>
          <w:bCs/>
          <w:spacing w:val="1"/>
        </w:rPr>
        <w:t>a</w:t>
      </w:r>
      <w:r>
        <w:rPr>
          <w:rFonts w:cs="Arial"/>
          <w:bCs/>
        </w:rPr>
        <w:t>dy</w:t>
      </w:r>
      <w:r>
        <w:rPr>
          <w:rFonts w:cs="Arial"/>
          <w:bCs/>
          <w:spacing w:val="-5"/>
        </w:rPr>
        <w:t xml:space="preserve"> </w:t>
      </w:r>
      <w:r>
        <w:rPr>
          <w:rFonts w:cs="Arial"/>
          <w:bCs/>
          <w:spacing w:val="1"/>
        </w:rPr>
        <w:t>o</w:t>
      </w:r>
      <w:r>
        <w:rPr>
          <w:rFonts w:cs="Arial"/>
          <w:bCs/>
        </w:rPr>
        <w:t>ceny</w:t>
      </w:r>
      <w:r>
        <w:rPr>
          <w:rFonts w:cs="Arial"/>
          <w:bCs/>
          <w:spacing w:val="-3"/>
        </w:rPr>
        <w:t xml:space="preserve"> </w:t>
      </w:r>
      <w:r>
        <w:rPr>
          <w:rFonts w:cs="Arial"/>
          <w:bCs/>
          <w:spacing w:val="1"/>
        </w:rPr>
        <w:t>of</w:t>
      </w:r>
      <w:r>
        <w:rPr>
          <w:rFonts w:cs="Arial"/>
          <w:bCs/>
        </w:rPr>
        <w:t>er</w:t>
      </w:r>
      <w:r>
        <w:rPr>
          <w:rFonts w:cs="Arial"/>
          <w:bCs/>
          <w:spacing w:val="1"/>
        </w:rPr>
        <w:t>t</w:t>
      </w:r>
      <w:r>
        <w:rPr>
          <w:rFonts w:cs="Arial"/>
          <w:bCs/>
        </w:rPr>
        <w:t>:</w:t>
      </w:r>
    </w:p>
    <w:p w:rsidR="001F2A88" w:rsidRDefault="001F2A88" w:rsidP="001F2A88">
      <w:pPr>
        <w:pStyle w:val="Tekstpodstawowywcity"/>
        <w:ind w:left="90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Zamawiający będzie oceniał elementy oferty odpowiadające ww. kryteriom, przy czym kryteria podlegać będą ocenie punktowej od 0 do 100 (1% = 1 pkt), opierając się o niżej podane zasady przyznawania punktów:</w:t>
      </w:r>
    </w:p>
    <w:p w:rsidR="001F2A88" w:rsidRDefault="001F2A88" w:rsidP="001F2A88">
      <w:pPr>
        <w:pStyle w:val="Tekstpodstawowywcity"/>
        <w:spacing w:line="240" w:lineRule="auto"/>
        <w:ind w:left="9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oferty brutto</w:t>
      </w:r>
    </w:p>
    <w:p w:rsidR="001F2A88" w:rsidRDefault="00C02742" w:rsidP="001F2A88">
      <w:pPr>
        <w:spacing w:line="240" w:lineRule="auto"/>
        <w:rPr>
          <w:rFonts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cena najniższa</m:t>
              </m:r>
              <m:ctrlPr>
                <w:rPr>
                  <w:rFonts w:ascii="Cambria Math" w:hAnsi="Cambria Math" w:cs="Arial"/>
                  <w:i/>
                </w:rPr>
              </m:ctrlPr>
            </m:num>
            <m:den>
              <m:r>
                <w:rPr>
                  <w:rFonts w:ascii="Cambria Math" w:hAnsi="Cambria Math" w:cs="Arial"/>
                </w:rPr>
                <m:t>cena oferty badanej</m:t>
              </m:r>
            </m:den>
          </m:f>
          <m:r>
            <w:rPr>
              <w:rFonts w:ascii="Cambria Math" w:hAnsi="Cambria Math" w:cs="Arial"/>
            </w:rPr>
            <m:t>*100*60%</m:t>
          </m:r>
          <m:r>
            <m:rPr>
              <m:sty m:val="p"/>
            </m:rPr>
            <w:rPr>
              <w:rFonts w:cs="Arial"/>
            </w:rPr>
            <w:br w:type="textWrapping" w:clear="all"/>
          </m:r>
        </m:oMath>
      </m:oMathPara>
      <w:r w:rsidR="001F2A88">
        <w:rPr>
          <w:rFonts w:cs="Arial"/>
        </w:rPr>
        <w:tab/>
      </w:r>
    </w:p>
    <w:p w:rsidR="001F2A88" w:rsidRDefault="001F2A88" w:rsidP="001F2A88">
      <w:pPr>
        <w:spacing w:line="240" w:lineRule="auto"/>
        <w:ind w:left="192" w:firstLine="708"/>
        <w:rPr>
          <w:rFonts w:cs="Arial"/>
          <w:b/>
        </w:rPr>
      </w:pPr>
      <w:r>
        <w:rPr>
          <w:rFonts w:cs="Arial"/>
          <w:b/>
        </w:rPr>
        <w:t>wysokość rabatu</w:t>
      </w:r>
    </w:p>
    <w:p w:rsidR="001F2A88" w:rsidRDefault="00C02742" w:rsidP="006242B5">
      <w:pPr>
        <w:spacing w:line="240" w:lineRule="auto"/>
        <w:rPr>
          <w:rFonts w:cs="Arial"/>
          <w:b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rabat oferty badanej</m:t>
              </m:r>
            </m:num>
            <m:den>
              <m:r>
                <w:rPr>
                  <w:rFonts w:ascii="Cambria Math" w:hAnsi="Cambria Math" w:cs="Cambria Math"/>
                </w:rPr>
                <m:t>rabat najwyższy</m:t>
              </m:r>
            </m:den>
          </m:f>
          <m:r>
            <w:rPr>
              <w:rFonts w:ascii="Cambria Math" w:hAnsi="Cambria Math" w:cs="Arial"/>
            </w:rPr>
            <m:t>*100*40%</m:t>
          </m:r>
        </m:oMath>
      </m:oMathPara>
    </w:p>
    <w:p w:rsidR="001F2A88" w:rsidRDefault="001F2A88" w:rsidP="001F2A88">
      <w:pPr>
        <w:spacing w:line="240" w:lineRule="auto"/>
        <w:ind w:left="720"/>
        <w:rPr>
          <w:rFonts w:cs="Arial"/>
        </w:rPr>
      </w:pPr>
    </w:p>
    <w:p w:rsidR="00A33C6E" w:rsidRPr="009C3727" w:rsidRDefault="00A33C6E" w:rsidP="00A33C6E">
      <w:pPr>
        <w:keepNext/>
        <w:spacing w:before="240" w:after="60"/>
        <w:ind w:left="540"/>
        <w:outlineLvl w:val="1"/>
        <w:rPr>
          <w:rFonts w:cs="Arial"/>
          <w:b/>
          <w:bCs/>
          <w:lang w:eastAsia="pl-PL"/>
        </w:rPr>
      </w:pPr>
      <w:r w:rsidRPr="009C3727">
        <w:rPr>
          <w:rFonts w:cs="Arial"/>
          <w:b/>
          <w:bCs/>
          <w:lang w:eastAsia="pl-PL"/>
        </w:rPr>
        <w:t>W zakresie kryterium „</w:t>
      </w:r>
      <w:r>
        <w:rPr>
          <w:rFonts w:cs="Arial"/>
          <w:b/>
          <w:bCs/>
          <w:lang w:eastAsia="pl-PL"/>
        </w:rPr>
        <w:t>Wysokość rabatu</w:t>
      </w:r>
      <w:r w:rsidRPr="009C3727">
        <w:rPr>
          <w:rFonts w:cs="Arial"/>
          <w:b/>
          <w:bCs/>
          <w:lang w:eastAsia="pl-PL"/>
        </w:rPr>
        <w:t>”:</w:t>
      </w:r>
    </w:p>
    <w:tbl>
      <w:tblPr>
        <w:tblW w:w="6441" w:type="dxa"/>
        <w:tblInd w:w="900" w:type="dxa"/>
        <w:tblLook w:val="01E0" w:firstRow="1" w:lastRow="1" w:firstColumn="1" w:lastColumn="1" w:noHBand="0" w:noVBand="0"/>
      </w:tblPr>
      <w:tblGrid>
        <w:gridCol w:w="690"/>
        <w:gridCol w:w="3088"/>
        <w:gridCol w:w="992"/>
        <w:gridCol w:w="1671"/>
      </w:tblGrid>
      <w:tr w:rsidR="00A33C6E" w:rsidRPr="009C3727" w:rsidTr="009F43B5">
        <w:trPr>
          <w:trHeight w:val="508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A33C6E" w:rsidRPr="009C3727" w:rsidTr="009F43B5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A33C6E" w:rsidRPr="009C3727" w:rsidRDefault="00A33C6E" w:rsidP="009F43B5">
                  <w:pPr>
                    <w:tabs>
                      <w:tab w:val="left" w:pos="2508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3088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A33C6E" w:rsidRPr="009C3727" w:rsidRDefault="00A33C6E" w:rsidP="00A33C6E">
            <w:pPr>
              <w:tabs>
                <w:tab w:val="left" w:pos="143"/>
              </w:tabs>
              <w:rPr>
                <w:rFonts w:cs="Arial"/>
                <w:lang w:eastAsia="pl-PL"/>
              </w:rPr>
            </w:pPr>
            <w:r w:rsidRPr="009C3727">
              <w:rPr>
                <w:rFonts w:cs="Arial"/>
                <w:lang w:eastAsia="pl-PL"/>
              </w:rPr>
              <w:t xml:space="preserve">   </w:t>
            </w:r>
            <w:r>
              <w:rPr>
                <w:rFonts w:cs="Arial"/>
                <w:b/>
                <w:bCs/>
                <w:lang w:eastAsia="pl-PL"/>
              </w:rPr>
              <w:t>0,5-1%</w:t>
            </w:r>
            <w:r w:rsidRPr="009C3727">
              <w:rPr>
                <w:rFonts w:cs="Arial"/>
                <w:b/>
                <w:bCs/>
                <w:lang w:eastAsia="pl-PL"/>
              </w:rPr>
              <w:t xml:space="preserve"> </w:t>
            </w:r>
            <w:r w:rsidR="001E4813">
              <w:rPr>
                <w:rFonts w:cs="Arial"/>
                <w:b/>
                <w:bCs/>
                <w:lang w:eastAsia="pl-PL"/>
              </w:rPr>
              <w:t>- 10 pkt.</w:t>
            </w:r>
          </w:p>
        </w:tc>
        <w:tc>
          <w:tcPr>
            <w:tcW w:w="992" w:type="dxa"/>
          </w:tcPr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:rsidR="00A33C6E" w:rsidRPr="009C3727" w:rsidRDefault="00A33C6E" w:rsidP="009F43B5">
            <w:pPr>
              <w:tabs>
                <w:tab w:val="left" w:pos="143"/>
              </w:tabs>
              <w:ind w:left="-215"/>
              <w:rPr>
                <w:rFonts w:cs="Arial"/>
                <w:lang w:eastAsia="pl-PL"/>
              </w:rPr>
            </w:pPr>
          </w:p>
        </w:tc>
      </w:tr>
      <w:tr w:rsidR="00A33C6E" w:rsidRPr="009C3727" w:rsidTr="009F43B5">
        <w:trPr>
          <w:trHeight w:val="508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A33C6E" w:rsidRPr="009C3727" w:rsidTr="009F43B5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A33C6E" w:rsidRPr="009C3727" w:rsidRDefault="00A33C6E" w:rsidP="009F43B5">
                  <w:pPr>
                    <w:tabs>
                      <w:tab w:val="left" w:pos="2508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3088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A33C6E" w:rsidRPr="009C3727" w:rsidRDefault="00A33C6E" w:rsidP="00A33C6E">
            <w:pPr>
              <w:tabs>
                <w:tab w:val="left" w:pos="143"/>
              </w:tabs>
              <w:rPr>
                <w:rFonts w:cs="Arial"/>
                <w:lang w:eastAsia="pl-PL"/>
              </w:rPr>
            </w:pPr>
            <w:r w:rsidRPr="009C3727">
              <w:rPr>
                <w:rFonts w:cs="Arial"/>
                <w:lang w:eastAsia="pl-PL"/>
              </w:rPr>
              <w:t xml:space="preserve">   </w:t>
            </w:r>
            <w:r>
              <w:rPr>
                <w:rFonts w:cs="Arial"/>
                <w:b/>
                <w:lang w:eastAsia="pl-PL"/>
              </w:rPr>
              <w:t>1,1-1,5%</w:t>
            </w:r>
            <w:r w:rsidR="001E4813">
              <w:rPr>
                <w:rFonts w:cs="Arial"/>
                <w:b/>
                <w:lang w:eastAsia="pl-PL"/>
              </w:rPr>
              <w:t xml:space="preserve"> - 20 pkt. </w:t>
            </w:r>
          </w:p>
        </w:tc>
        <w:tc>
          <w:tcPr>
            <w:tcW w:w="992" w:type="dxa"/>
          </w:tcPr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:rsidR="00A33C6E" w:rsidRPr="009C3727" w:rsidRDefault="00A33C6E" w:rsidP="009F43B5">
            <w:pPr>
              <w:tabs>
                <w:tab w:val="left" w:pos="143"/>
              </w:tabs>
              <w:ind w:left="-215"/>
              <w:rPr>
                <w:rFonts w:cs="Arial"/>
                <w:lang w:eastAsia="pl-PL"/>
              </w:rPr>
            </w:pPr>
          </w:p>
        </w:tc>
      </w:tr>
      <w:tr w:rsidR="00A33C6E" w:rsidRPr="009C3727" w:rsidTr="009F43B5">
        <w:trPr>
          <w:trHeight w:val="508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A33C6E" w:rsidRPr="009C3727" w:rsidTr="009F43B5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A33C6E" w:rsidRPr="009C3727" w:rsidRDefault="00A33C6E" w:rsidP="009F43B5">
                  <w:pPr>
                    <w:tabs>
                      <w:tab w:val="left" w:pos="2508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3088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A33C6E" w:rsidRPr="009C3727" w:rsidRDefault="00A33C6E" w:rsidP="00A33C6E">
            <w:pPr>
              <w:tabs>
                <w:tab w:val="left" w:pos="143"/>
              </w:tabs>
              <w:rPr>
                <w:rFonts w:cs="Arial"/>
                <w:lang w:eastAsia="pl-PL"/>
              </w:rPr>
            </w:pPr>
            <w:r w:rsidRPr="009C3727">
              <w:rPr>
                <w:rFonts w:cs="Arial"/>
                <w:lang w:eastAsia="pl-PL"/>
              </w:rPr>
              <w:t xml:space="preserve">   </w:t>
            </w:r>
            <w:r>
              <w:rPr>
                <w:rFonts w:cs="Arial"/>
                <w:b/>
                <w:lang w:eastAsia="pl-PL"/>
              </w:rPr>
              <w:t>1,51-2%</w:t>
            </w:r>
            <w:r w:rsidR="001E4813">
              <w:rPr>
                <w:rFonts w:cs="Arial"/>
                <w:b/>
                <w:lang w:eastAsia="pl-PL"/>
              </w:rPr>
              <w:t xml:space="preserve"> - 30 pkt.</w:t>
            </w:r>
          </w:p>
        </w:tc>
        <w:tc>
          <w:tcPr>
            <w:tcW w:w="992" w:type="dxa"/>
          </w:tcPr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:rsidR="00A33C6E" w:rsidRPr="009C3727" w:rsidRDefault="00A33C6E" w:rsidP="009F43B5">
            <w:pPr>
              <w:tabs>
                <w:tab w:val="left" w:pos="143"/>
              </w:tabs>
              <w:ind w:left="-215"/>
              <w:rPr>
                <w:rFonts w:cs="Arial"/>
                <w:lang w:eastAsia="pl-PL"/>
              </w:rPr>
            </w:pPr>
          </w:p>
        </w:tc>
      </w:tr>
      <w:tr w:rsidR="00A33C6E" w:rsidRPr="009C3727" w:rsidTr="009F43B5">
        <w:trPr>
          <w:trHeight w:val="508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A33C6E" w:rsidRPr="009C3727" w:rsidTr="009F43B5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A33C6E" w:rsidRPr="009C3727" w:rsidRDefault="00A33C6E" w:rsidP="009F43B5">
                  <w:pPr>
                    <w:tabs>
                      <w:tab w:val="left" w:pos="2508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3088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A33C6E" w:rsidRPr="009C3727" w:rsidRDefault="00A33C6E" w:rsidP="00A33C6E">
            <w:pPr>
              <w:tabs>
                <w:tab w:val="left" w:pos="143"/>
              </w:tabs>
              <w:rPr>
                <w:rFonts w:cs="Arial"/>
                <w:lang w:eastAsia="pl-PL"/>
              </w:rPr>
            </w:pPr>
            <w:r w:rsidRPr="009C3727">
              <w:rPr>
                <w:rFonts w:cs="Arial"/>
                <w:lang w:eastAsia="pl-PL"/>
              </w:rPr>
              <w:t xml:space="preserve">   </w:t>
            </w:r>
            <w:r>
              <w:rPr>
                <w:rFonts w:cs="Arial"/>
                <w:b/>
                <w:lang w:eastAsia="pl-PL"/>
              </w:rPr>
              <w:t>2,1-2,5%</w:t>
            </w:r>
            <w:r w:rsidR="001E4813">
              <w:rPr>
                <w:rFonts w:cs="Arial"/>
                <w:b/>
                <w:lang w:eastAsia="pl-PL"/>
              </w:rPr>
              <w:t xml:space="preserve"> - 40 pkt.</w:t>
            </w:r>
          </w:p>
        </w:tc>
        <w:tc>
          <w:tcPr>
            <w:tcW w:w="992" w:type="dxa"/>
          </w:tcPr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:rsidR="00A33C6E" w:rsidRPr="009C3727" w:rsidRDefault="00A33C6E" w:rsidP="009F43B5">
            <w:pPr>
              <w:tabs>
                <w:tab w:val="left" w:pos="143"/>
              </w:tabs>
              <w:ind w:left="-215"/>
              <w:rPr>
                <w:rFonts w:cs="Arial"/>
                <w:lang w:eastAsia="pl-PL"/>
              </w:rPr>
            </w:pPr>
          </w:p>
        </w:tc>
      </w:tr>
      <w:tr w:rsidR="00A33C6E" w:rsidRPr="009C3727" w:rsidTr="009F43B5">
        <w:trPr>
          <w:gridAfter w:val="2"/>
          <w:wAfter w:w="2663" w:type="dxa"/>
          <w:trHeight w:val="508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p w:rsidR="00A33C6E" w:rsidRPr="009C3727" w:rsidRDefault="00A33C6E" w:rsidP="009F43B5">
            <w:pPr>
              <w:tabs>
                <w:tab w:val="left" w:leader="dot" w:pos="2394"/>
              </w:tabs>
              <w:rPr>
                <w:rFonts w:cs="Arial"/>
                <w:sz w:val="22"/>
                <w:szCs w:val="22"/>
                <w:lang w:eastAsia="pl-PL"/>
              </w:rPr>
            </w:pPr>
          </w:p>
        </w:tc>
        <w:tc>
          <w:tcPr>
            <w:tcW w:w="3088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A33C6E" w:rsidRPr="009C3727" w:rsidRDefault="00A33C6E" w:rsidP="009F43B5">
            <w:pPr>
              <w:tabs>
                <w:tab w:val="left" w:pos="143"/>
              </w:tabs>
              <w:rPr>
                <w:rFonts w:cs="Arial"/>
                <w:lang w:eastAsia="pl-PL"/>
              </w:rPr>
            </w:pPr>
          </w:p>
        </w:tc>
      </w:tr>
    </w:tbl>
    <w:p w:rsidR="00A33C6E" w:rsidRPr="00C02742" w:rsidRDefault="00A33C6E" w:rsidP="00A33C6E">
      <w:pPr>
        <w:ind w:left="540"/>
        <w:rPr>
          <w:rFonts w:cs="Arial"/>
          <w:b/>
          <w:sz w:val="18"/>
          <w:szCs w:val="18"/>
          <w:lang w:eastAsia="pl-PL"/>
        </w:rPr>
      </w:pPr>
      <w:r w:rsidRPr="00C02742">
        <w:rPr>
          <w:rFonts w:cs="Arial"/>
          <w:b/>
          <w:sz w:val="18"/>
          <w:szCs w:val="18"/>
          <w:lang w:eastAsia="pl-PL"/>
        </w:rPr>
        <w:lastRenderedPageBreak/>
        <w:t>Uwaga:</w:t>
      </w:r>
      <w:r w:rsidRPr="00C02742">
        <w:rPr>
          <w:rFonts w:cs="Arial"/>
          <w:b/>
          <w:sz w:val="18"/>
          <w:szCs w:val="18"/>
          <w:lang w:eastAsia="pl-PL"/>
        </w:rPr>
        <w:tab/>
        <w:t>Wykonawca wstawia symbol „X” w kwadrat przy deklarowanej wysokości rabatu. Wykonawca zobowiązany jest, do wyboru tylko i wyłącznie jednego z wyżej wymienionych wariantów.</w:t>
      </w:r>
    </w:p>
    <w:p w:rsidR="00A33C6E" w:rsidRPr="00C02742" w:rsidRDefault="00A33C6E" w:rsidP="00A33C6E">
      <w:pPr>
        <w:ind w:left="540"/>
        <w:rPr>
          <w:rFonts w:cs="Arial"/>
          <w:b/>
          <w:sz w:val="18"/>
          <w:szCs w:val="18"/>
          <w:lang w:eastAsia="pl-PL"/>
        </w:rPr>
      </w:pPr>
      <w:r w:rsidRPr="00C02742">
        <w:rPr>
          <w:rFonts w:cs="Arial"/>
          <w:b/>
          <w:sz w:val="18"/>
          <w:szCs w:val="18"/>
          <w:lang w:eastAsia="pl-PL"/>
        </w:rPr>
        <w:t>W przypadku braku wypełnienia lub wypełnienia więcej niż jednego kwadratu, Zamawiający przyzna „0” punktów w kryterium „Wysokość rabatu”.</w:t>
      </w:r>
    </w:p>
    <w:p w:rsidR="001F2A88" w:rsidRPr="00C02742" w:rsidRDefault="001F2A88" w:rsidP="00A33C6E">
      <w:pPr>
        <w:ind w:left="540" w:firstLine="60"/>
        <w:rPr>
          <w:rFonts w:cs="Arial"/>
          <w:b/>
          <w:sz w:val="18"/>
          <w:szCs w:val="18"/>
        </w:rPr>
      </w:pPr>
      <w:r w:rsidRPr="00C02742">
        <w:rPr>
          <w:rFonts w:cs="Arial"/>
          <w:b/>
          <w:sz w:val="18"/>
          <w:szCs w:val="18"/>
        </w:rPr>
        <w:t xml:space="preserve">W przypadku zastosowania przez Wykonawcę </w:t>
      </w:r>
      <w:bookmarkStart w:id="0" w:name="_GoBack"/>
      <w:bookmarkEnd w:id="0"/>
      <w:r w:rsidRPr="00C02742">
        <w:rPr>
          <w:rFonts w:cs="Arial"/>
          <w:b/>
          <w:sz w:val="18"/>
          <w:szCs w:val="18"/>
        </w:rPr>
        <w:t>rabatu 0% nie zostani</w:t>
      </w:r>
      <w:r w:rsidR="00A33C6E" w:rsidRPr="00C02742">
        <w:rPr>
          <w:rFonts w:cs="Arial"/>
          <w:b/>
          <w:sz w:val="18"/>
          <w:szCs w:val="18"/>
        </w:rPr>
        <w:t xml:space="preserve">e on podstawiony do wzoru   dla  </w:t>
      </w:r>
      <w:r w:rsidRPr="00C02742">
        <w:rPr>
          <w:rFonts w:cs="Arial"/>
          <w:b/>
          <w:sz w:val="18"/>
          <w:szCs w:val="18"/>
        </w:rPr>
        <w:t>obliczenia wysokości rabatu a Wykonawca otrzyma 0 pkt w tym kryterium.</w:t>
      </w:r>
    </w:p>
    <w:p w:rsidR="001F2A88" w:rsidRPr="001F2A88" w:rsidRDefault="001F2A88" w:rsidP="001F2A88">
      <w:pPr>
        <w:pStyle w:val="Nagwek1"/>
      </w:pPr>
      <w:r w:rsidRPr="001F2A88"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1F2A88" w:rsidRDefault="001F2A88" w:rsidP="001F2A88">
      <w:pPr>
        <w:pStyle w:val="Tekstpodstawowywcity"/>
        <w:numPr>
          <w:ilvl w:val="0"/>
          <w:numId w:val="2"/>
        </w:numPr>
        <w:spacing w:befor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Jeżeli Wykonawca złoży ofertę, której wybór prowadziłby do powstania u Zamawiającego  </w:t>
      </w:r>
    </w:p>
    <w:p w:rsidR="001F2A88" w:rsidRDefault="001F2A88" w:rsidP="001F2A88">
      <w:pPr>
        <w:pStyle w:val="Tekstpodstawowywcity"/>
        <w:tabs>
          <w:tab w:val="num" w:pos="1620"/>
        </w:tabs>
        <w:spacing w:befor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obowiązku podatkowego zgodnie z przepisami o podatku od towarów i usług, zamawiający                       </w:t>
      </w:r>
    </w:p>
    <w:p w:rsidR="001F2A88" w:rsidRDefault="001F2A88" w:rsidP="001F2A88">
      <w:pPr>
        <w:pStyle w:val="Tekstpodstawowywcity"/>
        <w:tabs>
          <w:tab w:val="num" w:pos="1620"/>
        </w:tabs>
        <w:spacing w:before="0"/>
        <w:ind w:left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w celu oceny takiej oferty dolicza do przedstawionej w niej ceny podatek od towarów i usług,   </w:t>
      </w:r>
    </w:p>
    <w:p w:rsidR="001F2A88" w:rsidRDefault="001F2A88" w:rsidP="001F2A88">
      <w:pPr>
        <w:pStyle w:val="Tekstpodstawowywcity"/>
        <w:tabs>
          <w:tab w:val="num" w:pos="1620"/>
        </w:tabs>
        <w:spacing w:before="0"/>
        <w:ind w:left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który miałby obowiązek rozliczyć zgodnie z tymi przepisami. </w:t>
      </w:r>
    </w:p>
    <w:p w:rsidR="00771189" w:rsidRDefault="00771189"/>
    <w:sectPr w:rsidR="0077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567"/>
    <w:multiLevelType w:val="hybridMultilevel"/>
    <w:tmpl w:val="699A9564"/>
    <w:lvl w:ilvl="0" w:tplc="34DE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E4C7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4EA023A8"/>
    <w:multiLevelType w:val="hybridMultilevel"/>
    <w:tmpl w:val="B44098FE"/>
    <w:lvl w:ilvl="0" w:tplc="AFACCEDE">
      <w:start w:val="3"/>
      <w:numFmt w:val="lowerLetter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3"/>
    <w:rsid w:val="001E4813"/>
    <w:rsid w:val="001F2A88"/>
    <w:rsid w:val="006242B5"/>
    <w:rsid w:val="00745A23"/>
    <w:rsid w:val="00771189"/>
    <w:rsid w:val="00A33C6E"/>
    <w:rsid w:val="00C0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F8D0-68F3-4389-99F5-F108076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88"/>
    <w:pPr>
      <w:spacing w:after="0" w:line="36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F2A88"/>
    <w:pPr>
      <w:keepNext/>
      <w:numPr>
        <w:numId w:val="2"/>
      </w:numPr>
      <w:tabs>
        <w:tab w:val="left" w:pos="708"/>
      </w:tabs>
      <w:spacing w:before="120"/>
      <w:outlineLvl w:val="0"/>
    </w:pPr>
    <w:rPr>
      <w:rFonts w:cs="Arial"/>
      <w:bCs/>
      <w:kern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A88"/>
    <w:rPr>
      <w:rFonts w:ascii="Arial" w:eastAsia="Times New Roman" w:hAnsi="Arial" w:cs="Arial"/>
      <w:bCs/>
      <w:color w:val="000000"/>
      <w:kern w:val="32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A88"/>
    <w:pPr>
      <w:spacing w:before="120"/>
    </w:pPr>
    <w:rPr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A88"/>
    <w:rPr>
      <w:rFonts w:ascii="Arial" w:eastAsia="Times New Roman" w:hAnsi="Arial" w:cs="Times New Roman"/>
      <w:b/>
      <w:bCs/>
      <w:color w:val="000000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Moreń</dc:creator>
  <cp:keywords/>
  <dc:description/>
  <cp:lastModifiedBy>Justyna Moreń</cp:lastModifiedBy>
  <cp:revision>4</cp:revision>
  <dcterms:created xsi:type="dcterms:W3CDTF">2021-05-26T07:38:00Z</dcterms:created>
  <dcterms:modified xsi:type="dcterms:W3CDTF">2021-05-26T08:54:00Z</dcterms:modified>
</cp:coreProperties>
</file>