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2A34" w14:textId="77777777" w:rsidR="00DA7341" w:rsidRDefault="00DA7341" w:rsidP="00DA7341">
      <w:pPr>
        <w:tabs>
          <w:tab w:val="left" w:pos="1350"/>
          <w:tab w:val="right" w:pos="9072"/>
        </w:tabs>
        <w:spacing w:after="0" w:line="240" w:lineRule="auto"/>
        <w:rPr>
          <w:rFonts w:ascii="Arial" w:hAnsi="Arial" w:cs="Arial"/>
          <w:sz w:val="24"/>
          <w:szCs w:val="24"/>
        </w:rPr>
      </w:pPr>
      <w:bookmarkStart w:id="0" w:name="_Hlk104287430"/>
      <w:r>
        <w:rPr>
          <w:rFonts w:ascii="Arial" w:hAnsi="Arial" w:cs="Arial"/>
          <w:sz w:val="24"/>
          <w:szCs w:val="24"/>
        </w:rPr>
        <w:t>Znak sprawy: ASIV.272.5.2022</w:t>
      </w:r>
      <w:r>
        <w:rPr>
          <w:rFonts w:ascii="Arial" w:hAnsi="Arial" w:cs="Arial"/>
          <w:sz w:val="24"/>
          <w:szCs w:val="24"/>
        </w:rPr>
        <w:tab/>
      </w:r>
      <w:bookmarkEnd w:id="0"/>
    </w:p>
    <w:p w14:paraId="6EE8C774" w14:textId="09B4E336" w:rsidR="00DA7341" w:rsidRDefault="00DA7341" w:rsidP="00174050">
      <w:pPr>
        <w:jc w:val="center"/>
        <w:rPr>
          <w:rFonts w:ascii="Arial" w:hAnsi="Arial" w:cs="Arial"/>
          <w:b/>
          <w:i/>
          <w:sz w:val="24"/>
          <w:szCs w:val="24"/>
        </w:rPr>
      </w:pPr>
    </w:p>
    <w:p w14:paraId="7B7D4BAE" w14:textId="77777777" w:rsidR="00DA7341" w:rsidRDefault="00DA7341" w:rsidP="00174050">
      <w:pPr>
        <w:jc w:val="center"/>
        <w:rPr>
          <w:rFonts w:ascii="Arial" w:hAnsi="Arial" w:cs="Arial"/>
          <w:b/>
          <w:i/>
          <w:sz w:val="24"/>
          <w:szCs w:val="24"/>
        </w:rPr>
      </w:pPr>
    </w:p>
    <w:p w14:paraId="5BF0FB02" w14:textId="0B2393C6" w:rsidR="00174050" w:rsidRDefault="00174050" w:rsidP="00174050">
      <w:pPr>
        <w:jc w:val="center"/>
        <w:rPr>
          <w:rFonts w:ascii="Arial" w:hAnsi="Arial" w:cs="Arial"/>
          <w:b/>
          <w:i/>
          <w:sz w:val="24"/>
          <w:szCs w:val="24"/>
        </w:rPr>
      </w:pPr>
      <w:r w:rsidRPr="001E10CC">
        <w:rPr>
          <w:rFonts w:ascii="Arial" w:hAnsi="Arial" w:cs="Arial"/>
          <w:b/>
          <w:i/>
          <w:sz w:val="24"/>
          <w:szCs w:val="24"/>
        </w:rPr>
        <w:t>Istotne Postanowienia Umowy</w:t>
      </w:r>
    </w:p>
    <w:p w14:paraId="2F94196E" w14:textId="77777777" w:rsidR="00174050" w:rsidRPr="001E10CC" w:rsidRDefault="00174050" w:rsidP="00174050">
      <w:pPr>
        <w:jc w:val="center"/>
        <w:rPr>
          <w:rFonts w:ascii="Arial" w:hAnsi="Arial" w:cs="Arial"/>
          <w:b/>
          <w:i/>
          <w:sz w:val="24"/>
          <w:szCs w:val="24"/>
        </w:rPr>
      </w:pPr>
    </w:p>
    <w:p w14:paraId="6241AEB6" w14:textId="0EC43014" w:rsidR="00B94C21" w:rsidRPr="008215D2" w:rsidRDefault="00174050" w:rsidP="003D0D6A">
      <w:pPr>
        <w:pStyle w:val="Akapitzlist"/>
        <w:numPr>
          <w:ilvl w:val="0"/>
          <w:numId w:val="1"/>
        </w:numPr>
        <w:spacing w:line="360" w:lineRule="auto"/>
        <w:ind w:left="357" w:hanging="357"/>
        <w:jc w:val="both"/>
      </w:pPr>
      <w:r w:rsidRPr="003D0D6A">
        <w:rPr>
          <w:rFonts w:ascii="Arial" w:hAnsi="Arial" w:cs="Arial"/>
          <w:shd w:val="clear" w:color="auto" w:fill="FFFFFF"/>
        </w:rPr>
        <w:t xml:space="preserve">Umowa wchodzi w życie z dniem podpisania, z mocą obowiązującą od dnia 1 stycznia 2023 r. do </w:t>
      </w:r>
      <w:r w:rsidRPr="003D0D6A">
        <w:rPr>
          <w:rFonts w:ascii="Arial" w:hAnsi="Arial" w:cs="Arial"/>
        </w:rPr>
        <w:t>dnia</w:t>
      </w:r>
      <w:r w:rsidRPr="003D0D6A">
        <w:rPr>
          <w:rFonts w:ascii="Arial" w:hAnsi="Arial" w:cs="Arial"/>
          <w:color w:val="000000"/>
        </w:rPr>
        <w:t xml:space="preserve"> 31.12.2023 r. lub do wyczerpania kwoty łącznego wynagrodzenia.</w:t>
      </w:r>
    </w:p>
    <w:p w14:paraId="17751615" w14:textId="77777777" w:rsidR="008215D2" w:rsidRPr="003D0D6A" w:rsidRDefault="008215D2" w:rsidP="008215D2">
      <w:pPr>
        <w:pStyle w:val="Akapitzlist"/>
        <w:spacing w:line="360" w:lineRule="auto"/>
        <w:ind w:left="357"/>
        <w:jc w:val="both"/>
      </w:pPr>
    </w:p>
    <w:p w14:paraId="13CE4BCE" w14:textId="711E6E81" w:rsidR="003D0D6A" w:rsidRPr="003D0D6A" w:rsidRDefault="003D0D6A" w:rsidP="003D0D6A">
      <w:pPr>
        <w:pStyle w:val="Akapitzlist"/>
        <w:numPr>
          <w:ilvl w:val="0"/>
          <w:numId w:val="1"/>
        </w:numPr>
        <w:shd w:val="clear" w:color="auto" w:fill="FFFFFF"/>
        <w:tabs>
          <w:tab w:val="left" w:pos="9360"/>
        </w:tabs>
        <w:spacing w:line="360" w:lineRule="auto"/>
        <w:jc w:val="both"/>
        <w:rPr>
          <w:rFonts w:ascii="Arial" w:hAnsi="Arial" w:cs="Arial"/>
        </w:rPr>
      </w:pPr>
      <w:r w:rsidRPr="003D0D6A">
        <w:rPr>
          <w:rFonts w:ascii="Arial" w:hAnsi="Arial" w:cs="Arial"/>
        </w:rPr>
        <w:t>Wykonawca zobowiązuje się do:</w:t>
      </w:r>
    </w:p>
    <w:p w14:paraId="6C3ED9DA" w14:textId="52C7A8F6" w:rsidR="003D0D6A" w:rsidRPr="003D0D6A" w:rsidRDefault="003D0D6A" w:rsidP="003D0D6A">
      <w:pPr>
        <w:pStyle w:val="Akapitzlist"/>
        <w:numPr>
          <w:ilvl w:val="0"/>
          <w:numId w:val="4"/>
        </w:numPr>
        <w:shd w:val="clear" w:color="auto" w:fill="FFFFFF"/>
        <w:tabs>
          <w:tab w:val="left" w:pos="9360"/>
        </w:tabs>
        <w:jc w:val="both"/>
        <w:rPr>
          <w:rFonts w:ascii="Arial" w:hAnsi="Arial" w:cs="Arial"/>
          <w:color w:val="000000"/>
        </w:rPr>
      </w:pPr>
      <w:r w:rsidRPr="003D0D6A">
        <w:rPr>
          <w:rFonts w:ascii="Arial" w:hAnsi="Arial" w:cs="Arial"/>
          <w:color w:val="000000"/>
        </w:rPr>
        <w:t>przyjęcia do serwisu w uzgodnionym terminie,</w:t>
      </w:r>
    </w:p>
    <w:p w14:paraId="42386CFE" w14:textId="1BD3FD86" w:rsidR="003D0D6A" w:rsidRPr="003D0D6A" w:rsidRDefault="003D0D6A" w:rsidP="003D0D6A">
      <w:pPr>
        <w:pStyle w:val="Akapitzlist"/>
        <w:numPr>
          <w:ilvl w:val="0"/>
          <w:numId w:val="4"/>
        </w:numPr>
        <w:shd w:val="clear" w:color="auto" w:fill="FFFFFF"/>
        <w:tabs>
          <w:tab w:val="left" w:pos="9360"/>
        </w:tabs>
        <w:jc w:val="both"/>
        <w:rPr>
          <w:rFonts w:ascii="Arial" w:hAnsi="Arial" w:cs="Arial"/>
          <w:color w:val="000000"/>
        </w:rPr>
      </w:pPr>
      <w:r w:rsidRPr="003D0D6A">
        <w:rPr>
          <w:rFonts w:ascii="Arial" w:hAnsi="Arial" w:cs="Arial"/>
          <w:color w:val="000000"/>
        </w:rPr>
        <w:t>wykonywania napraw w ciągu 48 godzin od zgłoszenia odliczając niedziele  i święta oraz niezależny czas na pozyskanie części zamiennych i materiałów,</w:t>
      </w:r>
    </w:p>
    <w:p w14:paraId="09BA1C3A" w14:textId="71EEBCD0" w:rsidR="003D0D6A" w:rsidRPr="003D0D6A" w:rsidRDefault="003D0D6A" w:rsidP="003D0D6A">
      <w:pPr>
        <w:pStyle w:val="Akapitzlist"/>
        <w:numPr>
          <w:ilvl w:val="0"/>
          <w:numId w:val="4"/>
        </w:numPr>
        <w:shd w:val="clear" w:color="auto" w:fill="FFFFFF"/>
        <w:tabs>
          <w:tab w:val="left" w:pos="9360"/>
        </w:tabs>
        <w:jc w:val="both"/>
        <w:rPr>
          <w:rFonts w:ascii="Arial" w:hAnsi="Arial" w:cs="Arial"/>
          <w:color w:val="000000"/>
        </w:rPr>
      </w:pPr>
      <w:r w:rsidRPr="003D0D6A">
        <w:rPr>
          <w:rFonts w:ascii="Arial" w:hAnsi="Arial" w:cs="Arial"/>
          <w:color w:val="000000"/>
        </w:rPr>
        <w:t>wykonywania serwisu olejowego w dniu zgłoszenia,</w:t>
      </w:r>
    </w:p>
    <w:p w14:paraId="43D98947" w14:textId="7FE9E1FC" w:rsidR="003D0D6A" w:rsidRPr="003D0D6A" w:rsidRDefault="003D0D6A" w:rsidP="003D0D6A">
      <w:pPr>
        <w:pStyle w:val="Akapitzlist"/>
        <w:numPr>
          <w:ilvl w:val="0"/>
          <w:numId w:val="4"/>
        </w:numPr>
        <w:shd w:val="clear" w:color="auto" w:fill="FFFFFF"/>
        <w:tabs>
          <w:tab w:val="left" w:pos="9360"/>
        </w:tabs>
        <w:jc w:val="both"/>
        <w:rPr>
          <w:rFonts w:ascii="Arial" w:hAnsi="Arial" w:cs="Arial"/>
          <w:color w:val="000000"/>
        </w:rPr>
      </w:pPr>
      <w:r w:rsidRPr="003D0D6A">
        <w:rPr>
          <w:rFonts w:ascii="Arial" w:hAnsi="Arial" w:cs="Arial"/>
        </w:rPr>
        <w:t>stosowanie części oryginalnych lub części zamiennych o jakości porównywalnej z częściami oryginalnymi</w:t>
      </w:r>
      <w:r w:rsidRPr="003D0D6A">
        <w:rPr>
          <w:rFonts w:ascii="Arial" w:hAnsi="Arial" w:cs="Arial"/>
          <w:color w:val="000000"/>
        </w:rPr>
        <w:t>,</w:t>
      </w:r>
    </w:p>
    <w:p w14:paraId="0B744914" w14:textId="005BFFB4" w:rsidR="003D0D6A" w:rsidRPr="003D0D6A" w:rsidRDefault="003D0D6A" w:rsidP="003D0D6A">
      <w:pPr>
        <w:pStyle w:val="Akapitzlist"/>
        <w:numPr>
          <w:ilvl w:val="0"/>
          <w:numId w:val="4"/>
        </w:numPr>
        <w:shd w:val="clear" w:color="auto" w:fill="FFFFFF"/>
        <w:tabs>
          <w:tab w:val="left" w:pos="9360"/>
        </w:tabs>
        <w:spacing w:after="0" w:line="360" w:lineRule="auto"/>
        <w:jc w:val="both"/>
        <w:rPr>
          <w:rFonts w:ascii="Arial" w:hAnsi="Arial" w:cs="Arial"/>
          <w:color w:val="000000"/>
        </w:rPr>
      </w:pPr>
      <w:r w:rsidRPr="003D0D6A">
        <w:rPr>
          <w:rFonts w:ascii="Arial" w:hAnsi="Arial" w:cs="Arial"/>
          <w:color w:val="000000"/>
        </w:rPr>
        <w:t>oszacowania kosztów naprawy i uzyskania akceptacji Zamawiającego przed  przystąpieniem do naprawy,</w:t>
      </w:r>
    </w:p>
    <w:p w14:paraId="1255DAEE" w14:textId="01DCDA8E" w:rsidR="003D0D6A" w:rsidRDefault="003D0D6A" w:rsidP="003D0D6A">
      <w:pPr>
        <w:pStyle w:val="Akapitzlist"/>
        <w:numPr>
          <w:ilvl w:val="0"/>
          <w:numId w:val="4"/>
        </w:numPr>
        <w:shd w:val="clear" w:color="auto" w:fill="FFFFFF"/>
        <w:tabs>
          <w:tab w:val="left" w:pos="709"/>
          <w:tab w:val="left" w:pos="9360"/>
        </w:tabs>
        <w:spacing w:line="360" w:lineRule="auto"/>
        <w:jc w:val="both"/>
        <w:rPr>
          <w:rFonts w:ascii="Arial" w:hAnsi="Arial" w:cs="Arial"/>
          <w:color w:val="000000"/>
        </w:rPr>
      </w:pPr>
      <w:r w:rsidRPr="003D0D6A">
        <w:rPr>
          <w:rFonts w:ascii="Arial" w:hAnsi="Arial" w:cs="Arial"/>
          <w:color w:val="000000"/>
        </w:rPr>
        <w:t>stosowania jednolitych norm czasowych czynności serwisowych</w:t>
      </w:r>
    </w:p>
    <w:p w14:paraId="10B93289" w14:textId="77777777" w:rsidR="008215D2" w:rsidRPr="003D0D6A" w:rsidRDefault="008215D2" w:rsidP="008215D2">
      <w:pPr>
        <w:pStyle w:val="Akapitzlist"/>
        <w:shd w:val="clear" w:color="auto" w:fill="FFFFFF"/>
        <w:tabs>
          <w:tab w:val="left" w:pos="709"/>
          <w:tab w:val="left" w:pos="9360"/>
        </w:tabs>
        <w:spacing w:line="360" w:lineRule="auto"/>
        <w:jc w:val="both"/>
        <w:rPr>
          <w:rFonts w:ascii="Arial" w:hAnsi="Arial" w:cs="Arial"/>
          <w:color w:val="000000"/>
        </w:rPr>
      </w:pPr>
    </w:p>
    <w:p w14:paraId="1865ECAC" w14:textId="34AE295C" w:rsidR="003D0D6A" w:rsidRPr="003D0D6A" w:rsidRDefault="003D0D6A" w:rsidP="00002266">
      <w:pPr>
        <w:pStyle w:val="Akapitzlist"/>
        <w:numPr>
          <w:ilvl w:val="0"/>
          <w:numId w:val="1"/>
        </w:numPr>
        <w:shd w:val="clear" w:color="auto" w:fill="FFFFFF"/>
        <w:tabs>
          <w:tab w:val="left" w:pos="709"/>
          <w:tab w:val="left" w:pos="9360"/>
        </w:tabs>
        <w:spacing w:after="0" w:line="360" w:lineRule="auto"/>
        <w:jc w:val="both"/>
        <w:rPr>
          <w:rFonts w:ascii="Arial" w:hAnsi="Arial" w:cs="Arial"/>
          <w:color w:val="000000"/>
        </w:rPr>
      </w:pPr>
      <w:r w:rsidRPr="003D0D6A">
        <w:rPr>
          <w:rFonts w:ascii="Arial" w:hAnsi="Arial" w:cs="Arial"/>
        </w:rPr>
        <w:t>Wykonawca zobowiązuje się do wykonywania serwisu olejowego zgodnie z zaleceniami,   w skład których wchodzi m.in.:</w:t>
      </w:r>
    </w:p>
    <w:p w14:paraId="19352F25" w14:textId="77777777" w:rsidR="003D0D6A" w:rsidRPr="00A154E6" w:rsidRDefault="003D0D6A" w:rsidP="00002266">
      <w:pPr>
        <w:pStyle w:val="Tekstpodstawowywcity"/>
        <w:widowControl/>
        <w:numPr>
          <w:ilvl w:val="0"/>
          <w:numId w:val="5"/>
        </w:numPr>
        <w:tabs>
          <w:tab w:val="left" w:pos="-180"/>
        </w:tabs>
        <w:snapToGrid/>
        <w:spacing w:after="0" w:line="360" w:lineRule="auto"/>
        <w:ind w:left="782" w:hanging="357"/>
        <w:jc w:val="both"/>
        <w:rPr>
          <w:rFonts w:ascii="Arial" w:hAnsi="Arial" w:cs="Arial"/>
          <w:sz w:val="22"/>
          <w:szCs w:val="22"/>
          <w:lang w:val="pl-PL"/>
        </w:rPr>
      </w:pPr>
      <w:r w:rsidRPr="00A154E6">
        <w:rPr>
          <w:rFonts w:ascii="Arial" w:hAnsi="Arial" w:cs="Arial"/>
          <w:sz w:val="22"/>
          <w:szCs w:val="22"/>
          <w:lang w:val="pl-PL"/>
        </w:rPr>
        <w:t>wymiana oleju silnikowego, z filtrami: oleju, powietrza,</w:t>
      </w:r>
    </w:p>
    <w:p w14:paraId="0E820776" w14:textId="77777777" w:rsidR="008215D2" w:rsidRPr="00A154E6" w:rsidRDefault="008215D2" w:rsidP="008215D2">
      <w:pPr>
        <w:pStyle w:val="Tekstpodstawowywcity"/>
        <w:widowControl/>
        <w:tabs>
          <w:tab w:val="left" w:pos="-180"/>
        </w:tabs>
        <w:snapToGrid/>
        <w:spacing w:after="0" w:line="360" w:lineRule="auto"/>
        <w:ind w:left="782"/>
        <w:jc w:val="both"/>
        <w:rPr>
          <w:rFonts w:ascii="Arial" w:hAnsi="Arial" w:cs="Arial"/>
          <w:sz w:val="22"/>
          <w:szCs w:val="22"/>
          <w:lang w:val="pl-PL"/>
        </w:rPr>
      </w:pPr>
      <w:bookmarkStart w:id="1" w:name="_GoBack"/>
      <w:bookmarkEnd w:id="1"/>
    </w:p>
    <w:p w14:paraId="28A7A6BD" w14:textId="2D64F403" w:rsidR="003D0D6A" w:rsidRDefault="003D0D6A" w:rsidP="00002266">
      <w:pPr>
        <w:pStyle w:val="Akapitzlist"/>
        <w:numPr>
          <w:ilvl w:val="0"/>
          <w:numId w:val="1"/>
        </w:numPr>
        <w:spacing w:after="0" w:line="360" w:lineRule="auto"/>
        <w:jc w:val="both"/>
        <w:rPr>
          <w:rFonts w:ascii="Arial" w:hAnsi="Arial" w:cs="Arial"/>
          <w:color w:val="000000"/>
        </w:rPr>
      </w:pPr>
      <w:r w:rsidRPr="003D0D6A">
        <w:rPr>
          <w:rFonts w:ascii="Arial" w:hAnsi="Arial" w:cs="Arial"/>
        </w:rPr>
        <w:t xml:space="preserve">Zobowiązuję się udzielić Zamawiającemu </w:t>
      </w:r>
      <w:r w:rsidRPr="003D0D6A">
        <w:rPr>
          <w:rFonts w:ascii="Arial" w:hAnsi="Arial" w:cs="Arial"/>
          <w:color w:val="000000"/>
        </w:rPr>
        <w:t>12 miesięcznej gwarancji na wykonaną naprawę  i zastosowane części zamienne.</w:t>
      </w:r>
    </w:p>
    <w:p w14:paraId="14F1EF22" w14:textId="77777777" w:rsidR="008215D2" w:rsidRDefault="008215D2" w:rsidP="008215D2">
      <w:pPr>
        <w:pStyle w:val="Akapitzlist"/>
        <w:spacing w:after="0" w:line="360" w:lineRule="auto"/>
        <w:ind w:left="360"/>
        <w:jc w:val="both"/>
        <w:rPr>
          <w:rFonts w:ascii="Arial" w:hAnsi="Arial" w:cs="Arial"/>
          <w:color w:val="000000"/>
        </w:rPr>
      </w:pPr>
    </w:p>
    <w:p w14:paraId="523F5966" w14:textId="206FAF3D" w:rsidR="006B172E" w:rsidRDefault="006B172E" w:rsidP="00002266">
      <w:pPr>
        <w:pStyle w:val="Akapitzlist"/>
        <w:numPr>
          <w:ilvl w:val="0"/>
          <w:numId w:val="1"/>
        </w:numPr>
        <w:spacing w:after="0" w:line="360" w:lineRule="auto"/>
        <w:jc w:val="both"/>
        <w:rPr>
          <w:rFonts w:ascii="Arial" w:hAnsi="Arial" w:cs="Arial"/>
          <w:color w:val="000000"/>
        </w:rPr>
      </w:pPr>
      <w:r w:rsidRPr="006B172E">
        <w:rPr>
          <w:rFonts w:ascii="Arial" w:hAnsi="Arial" w:cs="Arial"/>
          <w:color w:val="000000"/>
        </w:rPr>
        <w:t xml:space="preserve">Zapłata dokonana będzie na rachunek bankowy Wykonawcy wskazany na fakturach w terminie do 21 dni od daty dostarczenia prawidłowo wystawionych oryginałów faktur do </w:t>
      </w:r>
      <w:r w:rsidRPr="00BB3AF7">
        <w:rPr>
          <w:rFonts w:ascii="Arial" w:hAnsi="Arial" w:cs="Arial"/>
          <w:color w:val="000000"/>
        </w:rPr>
        <w:t>siedziby Zamawiającego.</w:t>
      </w:r>
    </w:p>
    <w:p w14:paraId="77A2805D" w14:textId="77777777" w:rsidR="008215D2" w:rsidRPr="008215D2" w:rsidRDefault="008215D2" w:rsidP="008215D2">
      <w:pPr>
        <w:spacing w:after="0" w:line="360" w:lineRule="auto"/>
        <w:jc w:val="both"/>
        <w:rPr>
          <w:rFonts w:ascii="Arial" w:hAnsi="Arial" w:cs="Arial"/>
          <w:color w:val="000000"/>
        </w:rPr>
      </w:pPr>
    </w:p>
    <w:p w14:paraId="6AFA77F1" w14:textId="77777777" w:rsidR="008745EE" w:rsidRPr="00BB3AF7" w:rsidRDefault="008745EE" w:rsidP="008745EE">
      <w:pPr>
        <w:pStyle w:val="Akapitzlist"/>
        <w:numPr>
          <w:ilvl w:val="0"/>
          <w:numId w:val="1"/>
        </w:numPr>
        <w:spacing w:after="0" w:line="360" w:lineRule="auto"/>
        <w:jc w:val="both"/>
        <w:rPr>
          <w:rFonts w:ascii="Arial" w:hAnsi="Arial" w:cs="Arial"/>
          <w:color w:val="000000"/>
        </w:rPr>
      </w:pPr>
      <w:r w:rsidRPr="00BB3AF7">
        <w:rPr>
          <w:rFonts w:ascii="Arial" w:hAnsi="Arial" w:cs="Arial"/>
        </w:rPr>
        <w:t>Zamawiający dopuszcza zmianę wynagrodzenia Wykonawcy o opublikowany przez Prezesa GUS wskaźnik realnego wzrostu przeciętnego wynagrodzenia za poprzedni rok kalendarzowy, publikowany na podstawie art. 94 ust. 1 pkt 2 ustawy z dnia 17 grudnia 1998 r. o emeryturach i rentach z Funduszu Ubezpieczeń Społecznych (Dz. U. z 2020 r. poz. 53 ze zm.), przy czym:</w:t>
      </w:r>
    </w:p>
    <w:p w14:paraId="25D858FB" w14:textId="4E9F9AA4" w:rsidR="008745EE" w:rsidRPr="00BB3AF7" w:rsidRDefault="008745EE" w:rsidP="008215D2">
      <w:pPr>
        <w:pStyle w:val="Akapitzlist"/>
        <w:spacing w:line="360" w:lineRule="auto"/>
        <w:ind w:left="360"/>
        <w:jc w:val="both"/>
        <w:rPr>
          <w:rFonts w:ascii="Arial" w:hAnsi="Arial" w:cs="Arial"/>
        </w:rPr>
      </w:pPr>
      <w:r w:rsidRPr="00BB3AF7">
        <w:rPr>
          <w:rFonts w:ascii="Arial" w:hAnsi="Arial" w:cs="Arial"/>
        </w:rPr>
        <w:t xml:space="preserve">- zmiana wynagrodzenia nastąpi w sytuacji w której wskaźnik o którym mowa w </w:t>
      </w:r>
      <w:r w:rsidR="008215D2">
        <w:rPr>
          <w:rFonts w:ascii="Arial" w:hAnsi="Arial" w:cs="Arial"/>
        </w:rPr>
        <w:t>pkt. 6</w:t>
      </w:r>
      <w:r w:rsidRPr="00BB3AF7">
        <w:rPr>
          <w:rFonts w:ascii="Arial" w:hAnsi="Arial" w:cs="Arial"/>
        </w:rPr>
        <w:t xml:space="preserve"> będzie równy lub przekroczy 5 %</w:t>
      </w:r>
    </w:p>
    <w:p w14:paraId="324283E9" w14:textId="7471DB94" w:rsidR="008745EE" w:rsidRPr="008215D2" w:rsidRDefault="008745EE" w:rsidP="008215D2">
      <w:pPr>
        <w:pStyle w:val="Akapitzlist"/>
        <w:spacing w:line="360" w:lineRule="auto"/>
        <w:ind w:left="360"/>
        <w:jc w:val="both"/>
        <w:rPr>
          <w:rFonts w:ascii="Arial" w:hAnsi="Arial" w:cs="Arial"/>
        </w:rPr>
      </w:pPr>
      <w:r w:rsidRPr="00BB3AF7">
        <w:rPr>
          <w:rFonts w:ascii="Arial" w:hAnsi="Arial" w:cs="Arial"/>
        </w:rPr>
        <w:t>- łączny wzrost wynagrodzenia w okresie obowiązywania umowy nie przekroczy łącznie 10 % w stosunku do łącznego wynagrodzenia</w:t>
      </w:r>
      <w:r w:rsidR="008215D2">
        <w:rPr>
          <w:rFonts w:ascii="Arial" w:hAnsi="Arial" w:cs="Arial"/>
        </w:rPr>
        <w:t xml:space="preserve">. </w:t>
      </w:r>
      <w:r w:rsidRPr="008215D2">
        <w:rPr>
          <w:rFonts w:ascii="Arial" w:hAnsi="Arial" w:cs="Arial"/>
        </w:rPr>
        <w:t xml:space="preserve">Wykonawca w ciągu 30 (trzydziestu) dni od </w:t>
      </w:r>
      <w:r w:rsidRPr="008215D2">
        <w:rPr>
          <w:rFonts w:ascii="Arial" w:hAnsi="Arial" w:cs="Arial"/>
        </w:rPr>
        <w:lastRenderedPageBreak/>
        <w:t>zaistnienia okoliczności, o których mowa powyżej winien złożyć do Zamawiającego wniosek o zmianę wysokości wynagrodzenia wraz z uzasadnieniem oraz kalkulacją, z tym zastrzeżeniem, że w przypadku złożenia wniosku po tym terminie, Zamawiający ma prawo odmówić zmiany wynagrodzenia.</w:t>
      </w:r>
    </w:p>
    <w:p w14:paraId="3527769E" w14:textId="77777777" w:rsidR="008745EE" w:rsidRPr="00BB3AF7" w:rsidRDefault="008745EE" w:rsidP="008745EE">
      <w:pPr>
        <w:pStyle w:val="Akapitzlist"/>
        <w:spacing w:after="0" w:line="360" w:lineRule="auto"/>
        <w:ind w:left="360"/>
        <w:jc w:val="both"/>
        <w:rPr>
          <w:rFonts w:ascii="Arial" w:hAnsi="Arial" w:cs="Arial"/>
          <w:color w:val="000000"/>
        </w:rPr>
      </w:pPr>
    </w:p>
    <w:p w14:paraId="486C4FF2" w14:textId="7C55E85C" w:rsidR="00605DEF" w:rsidRPr="008745EE" w:rsidRDefault="00605DEF" w:rsidP="008745EE">
      <w:pPr>
        <w:pStyle w:val="Akapitzlist"/>
        <w:numPr>
          <w:ilvl w:val="0"/>
          <w:numId w:val="1"/>
        </w:numPr>
        <w:spacing w:after="0" w:line="360" w:lineRule="auto"/>
        <w:jc w:val="both"/>
        <w:rPr>
          <w:rFonts w:ascii="Arial" w:hAnsi="Arial" w:cs="Arial"/>
        </w:rPr>
      </w:pPr>
      <w:r w:rsidRPr="008745EE">
        <w:rPr>
          <w:rFonts w:ascii="Arial" w:hAnsi="Arial" w:cs="Arial"/>
        </w:rPr>
        <w:t xml:space="preserve">Zamawiający  ustanawia następujące zasady zmiany wysokości wynagrodzenia należnego Wykonawcy: </w:t>
      </w:r>
    </w:p>
    <w:p w14:paraId="09E8D695" w14:textId="76C41DD8" w:rsidR="00605DEF" w:rsidRPr="008745EE" w:rsidRDefault="00605DEF" w:rsidP="008215D2">
      <w:pPr>
        <w:pStyle w:val="Akapitzlist"/>
        <w:spacing w:line="360" w:lineRule="auto"/>
        <w:ind w:left="360"/>
        <w:jc w:val="both"/>
        <w:rPr>
          <w:rFonts w:ascii="Arial" w:hAnsi="Arial" w:cs="Arial"/>
        </w:rPr>
      </w:pPr>
      <w:r w:rsidRPr="00BB3AF7">
        <w:rPr>
          <w:rFonts w:ascii="Arial" w:hAnsi="Arial" w:cs="Arial"/>
        </w:rPr>
        <w:t>a)</w:t>
      </w:r>
      <w:r w:rsidRPr="00BB3AF7">
        <w:rPr>
          <w:rFonts w:ascii="Arial" w:hAnsi="Arial" w:cs="Arial"/>
        </w:rPr>
        <w:tab/>
        <w:t xml:space="preserve">w przypadku zmiany stawki podatku od towarów i usług – obniżenie lub podwyższenie wynagrodzenia należnego Wykonawcy nastąpi o kwotę odpowiadającą różnicy pomiędzy kwotą podatku jaką Wykonawca byłby zobowiązany zapłacić tytułem podatku </w:t>
      </w:r>
      <w:r w:rsidRPr="008745EE">
        <w:rPr>
          <w:rFonts w:ascii="Arial" w:hAnsi="Arial" w:cs="Arial"/>
        </w:rPr>
        <w:t>w momencie zawarcia umowy, a kwotą podatku jaką Wykonawca będzie zobowiązany zapłacić po zmianie stawki podatku od towarów i usług,</w:t>
      </w:r>
    </w:p>
    <w:p w14:paraId="036A8954" w14:textId="3E65E721" w:rsidR="00605DEF" w:rsidRPr="008215D2" w:rsidRDefault="00605DEF" w:rsidP="008215D2">
      <w:pPr>
        <w:pStyle w:val="Akapitzlist"/>
        <w:spacing w:line="360" w:lineRule="auto"/>
        <w:ind w:left="360"/>
        <w:jc w:val="both"/>
        <w:rPr>
          <w:rFonts w:ascii="Arial" w:hAnsi="Arial" w:cs="Arial"/>
        </w:rPr>
      </w:pPr>
      <w:r w:rsidRPr="00BB3AF7">
        <w:rPr>
          <w:rFonts w:ascii="Arial" w:hAnsi="Arial" w:cs="Arial"/>
        </w:rPr>
        <w:t>b)</w:t>
      </w:r>
      <w:r w:rsidRPr="00BB3AF7">
        <w:rPr>
          <w:rFonts w:ascii="Arial" w:hAnsi="Arial" w:cs="Arial"/>
        </w:rPr>
        <w:tab/>
        <w:t xml:space="preserve">w przypadku zmiany wysokości minimalnego wynagrodzenia za pracę ustalonego na podstawie art. 2 ust. 3-5 ustawy z dnia 10 października 2002 r. o minimalnym wynagrodzeniu za pracę – jeżeli Wykonawca zatrudnia przy realizacji umowy osoby pobierające minimalne wynagrodzenie za pracę, zmiana nastąpi proporcjonalnie do zwiększenia kosztów związanych z podniesieniem minimalnego wynagrodzenia za pracę, przy uwzględnieniu nakładu pracy na realizację umowy przez osoby pobierające to wynagrodzenie, przy czym Wykonawca - w ciągu 30 (trzydziestu) dni od wejścia w życie zmiany wysokości minimalnego wynagrodzenia za pracę - będzie zobowiązany do złożenia do Zamawiającego wniosku o zmianę wysokości wynagrodzenia wraz </w:t>
      </w:r>
      <w:r w:rsidRPr="008215D2">
        <w:rPr>
          <w:rFonts w:ascii="Arial" w:hAnsi="Arial" w:cs="Arial"/>
        </w:rPr>
        <w:t>z uzasadnieniem oraz szczegółową kalkulacją,</w:t>
      </w:r>
    </w:p>
    <w:p w14:paraId="292301F5" w14:textId="77777777" w:rsidR="00605DEF" w:rsidRPr="00BB3AF7" w:rsidRDefault="00605DEF" w:rsidP="008215D2">
      <w:pPr>
        <w:pStyle w:val="Akapitzlist"/>
        <w:spacing w:line="360" w:lineRule="auto"/>
        <w:ind w:left="360"/>
        <w:jc w:val="both"/>
        <w:rPr>
          <w:rFonts w:ascii="Arial" w:hAnsi="Arial" w:cs="Arial"/>
        </w:rPr>
      </w:pPr>
      <w:r w:rsidRPr="00BB3AF7">
        <w:rPr>
          <w:rFonts w:ascii="Arial" w:hAnsi="Arial" w:cs="Arial"/>
        </w:rPr>
        <w:t>c)</w:t>
      </w:r>
      <w:r w:rsidRPr="00BB3AF7">
        <w:rPr>
          <w:rFonts w:ascii="Arial" w:hAnsi="Arial" w:cs="Arial"/>
        </w:rPr>
        <w:tab/>
        <w:t>w przypadku zmiany zasad podlegania ubezpieczeniom społecznym lub ubezpieczeniu zdrowotnemu lub wysokości stawki składki na ubezpieczenia społeczne lub zdrowotne – jeżeli Wykonawca zatrudnia przy realizacji zamówienia osoby, których powyższe zmiany dotyczą, zmiana nastąpi proporcjonalnie do zmiany kosztów wynikających ze zmiany zasad podlegania ubezpieczeniom społecznym lub ubezpieczeniu zdrowotnemu lub wysokości stawki składki na ubezpieczenia społeczne lub zdrowotne, przy uwzględnieniu nakładu pracy na realizację umowy przez osoby, których ta zmiana dotyczy, przy czym Wykonawca - w ciągu 30 (trzydziestu) dni od wejścia w życie zmiany zasad podlegania ubezpieczeniom społecznym lub ubezpieczeniu zdrowotnemu lub wysokości stawki składki na ubezpieczenia społeczne lub zdrowotne - będzie zobowiązany do złożenia do Zamawiającego wniosku o zmianę wysokości wynagrodzenia wraz z uzasadnieniem oraz szczegółową kalkulacją.</w:t>
      </w:r>
    </w:p>
    <w:p w14:paraId="14CFCBC4" w14:textId="04CEDB6A" w:rsidR="003D0D6A" w:rsidRPr="008215D2" w:rsidRDefault="00605DEF" w:rsidP="008215D2">
      <w:pPr>
        <w:pStyle w:val="Akapitzlist"/>
        <w:spacing w:line="360" w:lineRule="auto"/>
        <w:ind w:left="360"/>
        <w:jc w:val="both"/>
        <w:rPr>
          <w:rFonts w:ascii="Arial" w:hAnsi="Arial" w:cs="Arial"/>
        </w:rPr>
      </w:pPr>
      <w:r w:rsidRPr="00BB3AF7">
        <w:rPr>
          <w:rFonts w:ascii="Arial" w:hAnsi="Arial" w:cs="Arial"/>
        </w:rPr>
        <w:t>d)</w:t>
      </w:r>
      <w:r w:rsidRPr="00BB3AF7">
        <w:rPr>
          <w:rFonts w:ascii="Arial" w:hAnsi="Arial" w:cs="Arial"/>
        </w:rPr>
        <w:tab/>
        <w:t xml:space="preserve">w przypadku zmiany zasad gromadzenia i wysokości wpłat do pracowniczych planów kapitałowych, o których mowa w ustawie z dnia 4 października 2018 r. o pracowniczych planach kapitałowych jeżeli Wykonawca zatrudnia przy realizacji zamówienia osoby, których te zmiany dotyczą, zmiana nastąpi proporcjonalnie do zmiany kosztów wynikających ze zmiany zasad gromadzenia i wysokości wpłat do pracowniczych planów </w:t>
      </w:r>
      <w:r w:rsidRPr="00BB3AF7">
        <w:rPr>
          <w:rFonts w:ascii="Arial" w:hAnsi="Arial" w:cs="Arial"/>
        </w:rPr>
        <w:lastRenderedPageBreak/>
        <w:t xml:space="preserve">kapitałowych, o których mowa w ustawie z dnia 4 października 2018 r. o pracowniczych planach kapitałowych, przy uwzględnieniu nakładu pracy na realizację umowy przez osoby, których ta zmiana dotyczy, przy czym Wykonawca – w ciągu 30 (trzydziestu) dni od wejścia w życie zmiany zasad gromadzenia i wysokości wpłat  - będzie zobowiązany do złożenia do Zamawiającego wniosku o zmianę wysokości wynagrodzenia wraz </w:t>
      </w:r>
      <w:r w:rsidRPr="008215D2">
        <w:rPr>
          <w:rFonts w:ascii="Arial" w:hAnsi="Arial" w:cs="Arial"/>
        </w:rPr>
        <w:t>z uzasadnieniem oraz szczegółową kalkulacją, z tym zastrzeżeniem, że w przypadku złożenia wniosku po terminie Zamawiający ma prawo odmówić zmiany wynagrodzenia.</w:t>
      </w:r>
    </w:p>
    <w:sectPr w:rsidR="003D0D6A" w:rsidRPr="008215D2" w:rsidSect="00BB3AF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33FBE"/>
    <w:multiLevelType w:val="hybridMultilevel"/>
    <w:tmpl w:val="7994BE04"/>
    <w:lvl w:ilvl="0" w:tplc="6D70C39A">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7EB64BB"/>
    <w:multiLevelType w:val="hybridMultilevel"/>
    <w:tmpl w:val="4FBAEA04"/>
    <w:lvl w:ilvl="0" w:tplc="6D70C39A">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517DC1"/>
    <w:multiLevelType w:val="hybridMultilevel"/>
    <w:tmpl w:val="3DAA01D8"/>
    <w:lvl w:ilvl="0" w:tplc="56AA3958">
      <w:start w:val="1"/>
      <w:numFmt w:val="bullet"/>
      <w:lvlText w:val=""/>
      <w:lvlJc w:val="left"/>
      <w:pPr>
        <w:ind w:left="78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960069A"/>
    <w:multiLevelType w:val="hybridMultilevel"/>
    <w:tmpl w:val="F872F490"/>
    <w:lvl w:ilvl="0" w:tplc="56AA3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68A1661"/>
    <w:multiLevelType w:val="hybridMultilevel"/>
    <w:tmpl w:val="56126EEA"/>
    <w:lvl w:ilvl="0" w:tplc="FBA80D6A">
      <w:start w:val="1"/>
      <w:numFmt w:val="bullet"/>
      <w:lvlText w:val=""/>
      <w:lvlJc w:val="left"/>
      <w:pPr>
        <w:ind w:left="1919"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3D"/>
    <w:rsid w:val="00002266"/>
    <w:rsid w:val="00174050"/>
    <w:rsid w:val="002B2A64"/>
    <w:rsid w:val="003D0D6A"/>
    <w:rsid w:val="00605DEF"/>
    <w:rsid w:val="006B172E"/>
    <w:rsid w:val="008215D2"/>
    <w:rsid w:val="008745EE"/>
    <w:rsid w:val="00A154E6"/>
    <w:rsid w:val="00B94C21"/>
    <w:rsid w:val="00BB3AF7"/>
    <w:rsid w:val="00CF457D"/>
    <w:rsid w:val="00D8623D"/>
    <w:rsid w:val="00DA7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96A7"/>
  <w15:chartTrackingRefBased/>
  <w15:docId w15:val="{83E5FBC3-F5B7-4DC8-9F30-E59F839F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40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74050"/>
    <w:pPr>
      <w:ind w:left="720"/>
      <w:contextualSpacing/>
    </w:pPr>
  </w:style>
  <w:style w:type="paragraph" w:styleId="Tekstpodstawowywcity">
    <w:name w:val="Body Text Indent"/>
    <w:basedOn w:val="Normalny"/>
    <w:link w:val="TekstpodstawowywcityZnak"/>
    <w:rsid w:val="003D0D6A"/>
    <w:pPr>
      <w:widowControl w:val="0"/>
      <w:snapToGrid w:val="0"/>
      <w:spacing w:after="120" w:line="240" w:lineRule="auto"/>
      <w:ind w:left="283"/>
    </w:pPr>
    <w:rPr>
      <w:rFonts w:ascii="Times New Roman" w:eastAsia="Times New Roman" w:hAnsi="Times New Roman" w:cs="Times New Roman"/>
      <w:sz w:val="24"/>
      <w:szCs w:val="20"/>
      <w:lang w:val="en-US" w:eastAsia="pl-PL"/>
    </w:rPr>
  </w:style>
  <w:style w:type="character" w:customStyle="1" w:styleId="TekstpodstawowywcityZnak">
    <w:name w:val="Tekst podstawowy wcięty Znak"/>
    <w:basedOn w:val="Domylnaczcionkaakapitu"/>
    <w:link w:val="Tekstpodstawowywcity"/>
    <w:rsid w:val="003D0D6A"/>
    <w:rPr>
      <w:rFonts w:ascii="Times New Roman" w:eastAsia="Times New Roman" w:hAnsi="Times New Roman" w:cs="Times New Roman"/>
      <w:sz w:val="24"/>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4533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Moreń</dc:creator>
  <cp:keywords/>
  <dc:description/>
  <cp:lastModifiedBy>Justyna Moreń</cp:lastModifiedBy>
  <cp:revision>2</cp:revision>
  <dcterms:created xsi:type="dcterms:W3CDTF">2022-11-14T07:38:00Z</dcterms:created>
  <dcterms:modified xsi:type="dcterms:W3CDTF">2022-11-14T07:38:00Z</dcterms:modified>
</cp:coreProperties>
</file>