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D89E0" w14:textId="74BCE754" w:rsidR="00A903B2" w:rsidRPr="00085E33" w:rsidRDefault="00A903B2" w:rsidP="00304C7F">
      <w:pPr>
        <w:jc w:val="center"/>
        <w:rPr>
          <w:rFonts w:cstheme="minorHAnsi"/>
          <w:b/>
          <w:sz w:val="24"/>
          <w:szCs w:val="22"/>
          <w:lang w:val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Spis funkcjonalności </w:t>
      </w:r>
      <w:r w:rsidRPr="00085E33">
        <w:rPr>
          <w:rFonts w:cstheme="minorHAnsi"/>
          <w:b/>
          <w:sz w:val="24"/>
          <w:szCs w:val="22"/>
          <w:lang w:val="pl-PL"/>
        </w:rPr>
        <w:t>internetowej platformy do obsługi procedur zlecania realizacji zadań publicznych</w:t>
      </w:r>
    </w:p>
    <w:p w14:paraId="04023DA0" w14:textId="61137888" w:rsidR="004865E5" w:rsidRPr="00304C7F" w:rsidRDefault="00304C7F" w:rsidP="004865E5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0. </w:t>
      </w:r>
      <w:r w:rsidR="004865E5" w:rsidRPr="00304C7F">
        <w:rPr>
          <w:rFonts w:cstheme="minorHAnsi"/>
          <w:b/>
          <w:bCs/>
          <w:sz w:val="24"/>
          <w:szCs w:val="22"/>
          <w:lang w:val="pl-PL" w:eastAsia="pl-PL"/>
        </w:rPr>
        <w:t>Ogólne właściwości systemu:</w:t>
      </w:r>
    </w:p>
    <w:p w14:paraId="529F1BC2" w14:textId="2D3C5851" w:rsidR="00A903B2" w:rsidRPr="00304C7F" w:rsidRDefault="00A903B2" w:rsidP="00304C7F">
      <w:pPr>
        <w:numPr>
          <w:ilvl w:val="0"/>
          <w:numId w:val="2"/>
        </w:numPr>
        <w:spacing w:line="240" w:lineRule="auto"/>
        <w:ind w:left="709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Odwzorowanie w systemie struktury jednostki ogłaszającej konkursy (jednostka / wydziały (+ pracownicy) / konkursy) i możliwość różnicowania ustawień </w:t>
      </w:r>
      <w:r w:rsidR="005F659D" w:rsidRPr="00304C7F">
        <w:rPr>
          <w:rFonts w:cstheme="minorHAnsi"/>
          <w:bCs/>
          <w:sz w:val="24"/>
          <w:szCs w:val="22"/>
          <w:lang w:val="pl-PL" w:eastAsia="pl-PL"/>
        </w:rPr>
        <w:t>systemu</w:t>
      </w:r>
      <w:r w:rsidR="00E21040">
        <w:rPr>
          <w:rFonts w:cstheme="minorHAnsi"/>
          <w:bCs/>
          <w:sz w:val="24"/>
          <w:szCs w:val="22"/>
          <w:lang w:val="pl-PL" w:eastAsia="pl-PL"/>
        </w:rPr>
        <w:br/>
      </w:r>
      <w:r w:rsidR="005F659D" w:rsidRPr="00304C7F">
        <w:rPr>
          <w:rFonts w:cstheme="minorHAnsi"/>
          <w:bCs/>
          <w:sz w:val="24"/>
          <w:szCs w:val="22"/>
          <w:lang w:val="pl-PL" w:eastAsia="pl-PL"/>
        </w:rPr>
        <w:t xml:space="preserve">w zależności od poziomu </w:t>
      </w:r>
      <w:r w:rsidRPr="00304C7F">
        <w:rPr>
          <w:rFonts w:cstheme="minorHAnsi"/>
          <w:bCs/>
          <w:sz w:val="24"/>
          <w:szCs w:val="22"/>
          <w:lang w:val="pl-PL" w:eastAsia="pl-PL"/>
        </w:rPr>
        <w:t>struktury</w:t>
      </w:r>
    </w:p>
    <w:p w14:paraId="3CF8C2F5" w14:textId="77777777" w:rsidR="0084453A" w:rsidRPr="00304C7F" w:rsidRDefault="0084453A" w:rsidP="00304C7F">
      <w:pPr>
        <w:numPr>
          <w:ilvl w:val="0"/>
          <w:numId w:val="2"/>
        </w:numPr>
        <w:spacing w:line="240" w:lineRule="auto"/>
        <w:ind w:left="709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włączania dostępu do ustawień w zależności od poziomu struktury (roli), do której przypisany jest użytkownik</w:t>
      </w:r>
    </w:p>
    <w:p w14:paraId="0D3D6369" w14:textId="3535A187" w:rsidR="004865E5" w:rsidRDefault="004865E5" w:rsidP="00304C7F">
      <w:pPr>
        <w:numPr>
          <w:ilvl w:val="0"/>
          <w:numId w:val="2"/>
        </w:numPr>
        <w:spacing w:line="240" w:lineRule="auto"/>
        <w:ind w:left="709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przeglądania bazy podmiotów ogłaszających konkursy i ogłoszonych przez nie konkursów na platformie; oferenci korzystają z tych funkcjonalności przy użyciu jednego konta w systemie</w:t>
      </w:r>
    </w:p>
    <w:p w14:paraId="052CFBFA" w14:textId="49213E07" w:rsidR="00E21040" w:rsidRPr="00E21040" w:rsidRDefault="00E21040" w:rsidP="00E21040">
      <w:pPr>
        <w:numPr>
          <w:ilvl w:val="0"/>
          <w:numId w:val="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Wyszukiwanie i przeglądanie wszystkich konkursów/naborów wprowadzonych</w:t>
      </w:r>
      <w:r>
        <w:rPr>
          <w:rFonts w:cstheme="minorHAnsi"/>
          <w:bCs/>
          <w:sz w:val="24"/>
          <w:szCs w:val="22"/>
          <w:lang w:val="pl-PL" w:eastAsia="pl-PL"/>
        </w:rPr>
        <w:t xml:space="preserve"> do systemu przez inne podmioty</w:t>
      </w:r>
    </w:p>
    <w:p w14:paraId="34F98AD0" w14:textId="02D118CE" w:rsidR="004865E5" w:rsidRPr="00304C7F" w:rsidRDefault="00304C7F" w:rsidP="004865E5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1.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Grupa funkcjonalności - ogłaszanie</w:t>
      </w:r>
      <w:r w:rsidR="004865E5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konkursów:</w:t>
      </w:r>
    </w:p>
    <w:p w14:paraId="2E5C16E8" w14:textId="2ECD6E60" w:rsidR="0084453A" w:rsidRPr="00304C7F" w:rsidRDefault="00E21040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Parametryzowanie i publikowanie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ogłosze</w:t>
      </w:r>
      <w:r>
        <w:rPr>
          <w:rFonts w:cstheme="minorHAnsi"/>
          <w:bCs/>
          <w:sz w:val="24"/>
          <w:szCs w:val="22"/>
          <w:lang w:val="pl-PL" w:eastAsia="pl-PL"/>
        </w:rPr>
        <w:t>ń o konkursach ofert</w:t>
      </w:r>
    </w:p>
    <w:p w14:paraId="0F12EB70" w14:textId="77777777" w:rsidR="002655F0" w:rsidRDefault="00385602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Kreator konkursu </w:t>
      </w:r>
      <w:r w:rsidR="0084453A" w:rsidRPr="00304C7F">
        <w:rPr>
          <w:rFonts w:cstheme="minorHAnsi"/>
          <w:bCs/>
          <w:sz w:val="24"/>
          <w:szCs w:val="22"/>
          <w:lang w:val="pl-PL" w:eastAsia="pl-PL"/>
        </w:rPr>
        <w:t>umożliwiający wprowadzenie parametrów ofert wymaganych w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84453A" w:rsidRPr="00304C7F">
        <w:rPr>
          <w:rFonts w:cstheme="minorHAnsi"/>
          <w:bCs/>
          <w:sz w:val="24"/>
          <w:szCs w:val="22"/>
          <w:lang w:val="pl-PL" w:eastAsia="pl-PL"/>
        </w:rPr>
        <w:t>formularzu wniosku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(m.in. termin złożenia oferty, sfera pożytku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publicznego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,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okres realizacji zadania, limity wkładu własnego finansowego, osobowego i rzeczowego, limit środków na ofertę, możliwość wnoszenia wkładu w postaci świadczeń odbiorców zadania i rzeczowego, przeznaczania dotacji na inwestycje, wymagalność szczegółowego opisu rezultatów zadania)</w:t>
      </w:r>
    </w:p>
    <w:p w14:paraId="5AFB9183" w14:textId="7CF8771B" w:rsidR="002655F0" w:rsidRDefault="002655F0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dodawania konkursów podzielonych na zadania i podzadania z różnymi kwotami środków do rozdysponowania, z możliwością zabezpiecz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>e</w:t>
      </w:r>
      <w:r w:rsidRPr="00304C7F">
        <w:rPr>
          <w:rFonts w:cstheme="minorHAnsi"/>
          <w:bCs/>
          <w:sz w:val="24"/>
          <w:szCs w:val="22"/>
          <w:lang w:val="pl-PL" w:eastAsia="pl-PL"/>
        </w:rPr>
        <w:t>nia składania</w:t>
      </w:r>
      <w:r w:rsidR="00E21040">
        <w:rPr>
          <w:rFonts w:cstheme="minorHAnsi"/>
          <w:bCs/>
          <w:sz w:val="24"/>
          <w:szCs w:val="22"/>
          <w:lang w:val="pl-PL" w:eastAsia="pl-PL"/>
        </w:rPr>
        <w:t xml:space="preserve"> jednej oferty na jedno zadanie</w:t>
      </w:r>
    </w:p>
    <w:p w14:paraId="488A6F6B" w14:textId="3B47F161" w:rsidR="00E21040" w:rsidRPr="00E21040" w:rsidRDefault="00E21040" w:rsidP="00E21040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dołączania wzorów załączników i dokumentacji konkursowej do ogłoszenia konkursowego</w:t>
      </w:r>
    </w:p>
    <w:p w14:paraId="25E47035" w14:textId="77777777" w:rsidR="00A903B2" w:rsidRPr="00304C7F" w:rsidRDefault="00A903B2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publikowania informacji o konkursach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 xml:space="preserve">w widokach publicznych poza systemem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(</w:t>
      </w:r>
      <w:proofErr w:type="spellStart"/>
      <w:r w:rsidR="00060194" w:rsidRPr="00304C7F">
        <w:rPr>
          <w:rFonts w:cstheme="minorHAnsi"/>
          <w:bCs/>
          <w:sz w:val="24"/>
          <w:szCs w:val="22"/>
          <w:lang w:val="pl-PL" w:eastAsia="pl-PL"/>
        </w:rPr>
        <w:t>iframe</w:t>
      </w:r>
      <w:proofErr w:type="spellEnd"/>
      <w:r w:rsidR="00060194" w:rsidRPr="00304C7F">
        <w:rPr>
          <w:rFonts w:cstheme="minorHAnsi"/>
          <w:bCs/>
          <w:sz w:val="24"/>
          <w:szCs w:val="22"/>
          <w:lang w:val="pl-PL" w:eastAsia="pl-PL"/>
        </w:rPr>
        <w:t xml:space="preserve">; integracja z portalem </w:t>
      </w:r>
      <w:r w:rsidRPr="00304C7F">
        <w:rPr>
          <w:rFonts w:cstheme="minorHAnsi"/>
          <w:bCs/>
          <w:sz w:val="24"/>
          <w:szCs w:val="22"/>
          <w:lang w:val="pl-PL" w:eastAsia="pl-PL"/>
        </w:rPr>
        <w:t>Facebook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)</w:t>
      </w:r>
    </w:p>
    <w:p w14:paraId="47B179BE" w14:textId="77777777" w:rsidR="00060194" w:rsidRPr="00304C7F" w:rsidRDefault="00060194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publikowania informacji o wynikach konkursów w widokach publicznych poza systemem  (</w:t>
      </w: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iframe</w:t>
      </w:r>
      <w:proofErr w:type="spellEnd"/>
      <w:r w:rsidRPr="00304C7F">
        <w:rPr>
          <w:rFonts w:cstheme="minorHAnsi"/>
          <w:bCs/>
          <w:sz w:val="24"/>
          <w:szCs w:val="22"/>
          <w:lang w:val="pl-PL" w:eastAsia="pl-PL"/>
        </w:rPr>
        <w:t>)</w:t>
      </w:r>
    </w:p>
    <w:p w14:paraId="7E985BB7" w14:textId="77777777" w:rsidR="00A903B2" w:rsidRPr="00304C7F" w:rsidRDefault="00A903B2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szy</w:t>
      </w:r>
      <w:r w:rsidR="00123E3D" w:rsidRPr="00304C7F">
        <w:rPr>
          <w:rFonts w:cstheme="minorHAnsi"/>
          <w:bCs/>
          <w:sz w:val="24"/>
          <w:szCs w:val="22"/>
          <w:lang w:val="pl-PL" w:eastAsia="pl-PL"/>
        </w:rPr>
        <w:t>bkiego dostępu i przeglądania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konkursów w kluczowych fazach tj. trwa nabór, trwa ocena, rozstrzygnięte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 itp.</w:t>
      </w:r>
    </w:p>
    <w:p w14:paraId="6758B917" w14:textId="0EFB7059" w:rsidR="00E21040" w:rsidRPr="00E21040" w:rsidRDefault="00E21040" w:rsidP="00E21040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Tworzenie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>
        <w:rPr>
          <w:rFonts w:cstheme="minorHAnsi"/>
          <w:bCs/>
          <w:sz w:val="24"/>
          <w:szCs w:val="22"/>
          <w:lang w:val="pl-PL" w:eastAsia="pl-PL"/>
        </w:rPr>
        <w:t xml:space="preserve">(kopiowanie)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konkursów na podstawie </w:t>
      </w:r>
      <w:r>
        <w:rPr>
          <w:rFonts w:cstheme="minorHAnsi"/>
          <w:bCs/>
          <w:sz w:val="24"/>
          <w:szCs w:val="22"/>
          <w:lang w:val="pl-PL" w:eastAsia="pl-PL"/>
        </w:rPr>
        <w:t>wcześniej opublikowanych</w:t>
      </w:r>
    </w:p>
    <w:p w14:paraId="3E4AFF38" w14:textId="755A89FE" w:rsidR="004865E5" w:rsidRPr="00304C7F" w:rsidRDefault="00304C7F" w:rsidP="004865E5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2.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Grupa funkcjonalności - przygotowywanie</w:t>
      </w:r>
      <w:r w:rsidR="004865E5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ofert:</w:t>
      </w:r>
    </w:p>
    <w:p w14:paraId="4D000914" w14:textId="40753953" w:rsidR="002655F0" w:rsidRPr="00304C7F" w:rsidRDefault="00665D89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/>
        </w:rPr>
        <w:t>Możliwość implementacji w systemie dowolnego wzoru wniosku/oferty do wypełnienia przez wnioskodawców/oferentów</w:t>
      </w:r>
    </w:p>
    <w:p w14:paraId="3F9A4F08" w14:textId="60FF902E" w:rsidR="002655F0" w:rsidRPr="00304C7F" w:rsidRDefault="002655F0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 xml:space="preserve">Elektroniczny formularz oferty może zawierać rubryki niewidoczne na wydruku oferty, służące do wprowadzania danych pobieranych do umowy (np. nr konta organizacji). </w:t>
      </w:r>
    </w:p>
    <w:p w14:paraId="4F7A5B03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Autozapis</w:t>
      </w:r>
      <w:proofErr w:type="spellEnd"/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i zapis manualny ofert będących w fazie opracowania; możliwość edytowania oferty (sprawozdania) na każdym etapie, do czasu jej wysłania</w:t>
      </w:r>
    </w:p>
    <w:p w14:paraId="24025D21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Automatyczny kalkulator zaimplementowany na poziomie budżetu formularza ofertowego obliczający wartości całkowite kosztów na podstawie informacji o cenie jednostkowej, liczbie jednostek, wysokości wkładu; kalkulator oblicza zgodność wysokości wkładów własnych (całkowitego, finansowego i osobowego) z oczekiwany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mi przez ogłaszającego konkurs,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informu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je oferenta o wprowadzeniu nie</w:t>
      </w:r>
      <w:r w:rsidRPr="00304C7F">
        <w:rPr>
          <w:rFonts w:cstheme="minorHAnsi"/>
          <w:bCs/>
          <w:sz w:val="24"/>
          <w:szCs w:val="22"/>
          <w:lang w:val="pl-PL" w:eastAsia="pl-PL"/>
        </w:rPr>
        <w:t>prawidłowych wartości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 oraz wartościach oczekiwanych</w:t>
      </w:r>
    </w:p>
    <w:p w14:paraId="09BB8911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Blokada złożenia błędnie wypełnionej oferty, w tym uniemożliwiająca złożenie oferty w przypadku braku wypełnienia wszystkich wymaganych pól, zawierającej nieprawidłowe 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dane formalne, niezgodne z oczekiwanymi </w:t>
      </w:r>
      <w:r w:rsidRPr="00304C7F">
        <w:rPr>
          <w:rFonts w:cstheme="minorHAnsi"/>
          <w:bCs/>
          <w:sz w:val="24"/>
          <w:szCs w:val="22"/>
          <w:lang w:val="pl-PL" w:eastAsia="pl-PL"/>
        </w:rPr>
        <w:t>wysokości wkład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ów lub całkowite koszty zadania</w:t>
      </w:r>
    </w:p>
    <w:p w14:paraId="7A860EFD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dołączania załączników do oferty i blokada możliwości złożenia oferty bez wymaganych załączników</w:t>
      </w:r>
    </w:p>
    <w:p w14:paraId="03F9FA7F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udostępniania ofert pomiędzy użytkownikami (po stronie właściciela oferty) m.in. do wglądu, edycji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, złożenia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lub dalszego udostępniania</w:t>
      </w:r>
      <w:r w:rsidR="00150FCD" w:rsidRPr="00304C7F">
        <w:rPr>
          <w:rFonts w:cstheme="minorHAnsi"/>
          <w:bCs/>
          <w:sz w:val="24"/>
          <w:szCs w:val="22"/>
          <w:lang w:val="pl-PL" w:eastAsia="pl-PL"/>
        </w:rPr>
        <w:t>, a także udostępniania do edycji sprawozdania.</w:t>
      </w:r>
    </w:p>
    <w:p w14:paraId="280B93E9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eksportowania i importowania oferty z/do systemu w formacie .</w:t>
      </w: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xml</w:t>
      </w:r>
      <w:proofErr w:type="spellEnd"/>
    </w:p>
    <w:p w14:paraId="5F3606D8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Oferenci dysponują bazą i historią własnych ofert</w:t>
      </w:r>
    </w:p>
    <w:p w14:paraId="6708C6FC" w14:textId="77777777" w:rsidR="00665D89" w:rsidRDefault="00665D89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Oznaczanie ofert unikatową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sumą kontrolną </w:t>
      </w:r>
    </w:p>
    <w:p w14:paraId="36B164F6" w14:textId="57697359" w:rsidR="00A903B2" w:rsidRPr="00304C7F" w:rsidRDefault="00665D89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Generowanie potwierdzenia złożenia wniosku/oferty</w:t>
      </w:r>
    </w:p>
    <w:p w14:paraId="0A5D705F" w14:textId="77777777" w:rsidR="002655F0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Organizator konkursu ma możliwość podglądu liczby i treści przygotowywanych ofert (uzyskanie dostępu do treści oferty 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może </w:t>
      </w:r>
      <w:r w:rsidRPr="00304C7F">
        <w:rPr>
          <w:rFonts w:cstheme="minorHAnsi"/>
          <w:bCs/>
          <w:sz w:val="24"/>
          <w:szCs w:val="22"/>
          <w:lang w:val="pl-PL" w:eastAsia="pl-PL"/>
        </w:rPr>
        <w:t>wymaga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ć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podania uzasadnienia pot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rzeby wglądu i jest odnotowywane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w systemie) i ich podstawowych parametrów tj. podmiot składający, całkowite koszty realizacji zadania, wysokość kwoty wnioskowanej</w:t>
      </w:r>
    </w:p>
    <w:p w14:paraId="50A5E9EC" w14:textId="3DACAFCC" w:rsidR="002655F0" w:rsidRPr="00304C7F" w:rsidRDefault="002655F0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Filtrowanie ofert wg zadań zadeklarowanych w konkursie oraz na poszczególnych etapach wg status oferty, status umowy.</w:t>
      </w:r>
    </w:p>
    <w:p w14:paraId="4B514F7E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pobierania ofert złożonych do konkursu (indywidualnie i seryjnie) w formacie gotowym do wydruku (.pdf)</w:t>
      </w:r>
    </w:p>
    <w:p w14:paraId="1A015613" w14:textId="02196B98" w:rsidR="00CA4CA3" w:rsidRPr="00304C7F" w:rsidRDefault="00CA4CA3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edycji nazwy oferenta z poziomu systemu (poprawienie np. literówek) umożliwiające procedowanie wniosku/umowy/sprawozdania bez konieczności zwracania się do oferenta o poprawę błędu</w:t>
      </w:r>
    </w:p>
    <w:p w14:paraId="483AFBD3" w14:textId="623FA8B4" w:rsidR="00A903B2" w:rsidRPr="00304C7F" w:rsidRDefault="004865E5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Automatyczne nadawanie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status</w:t>
      </w:r>
      <w:r w:rsidRPr="00304C7F">
        <w:rPr>
          <w:rFonts w:cstheme="minorHAnsi"/>
          <w:bCs/>
          <w:sz w:val="24"/>
          <w:szCs w:val="22"/>
          <w:lang w:val="pl-PL" w:eastAsia="pl-PL"/>
        </w:rPr>
        <w:t>u ofertom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:</w:t>
      </w:r>
    </w:p>
    <w:p w14:paraId="19DBB32F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oferty oczekujące (edytowane przez oferentów, przed złożeniem do konkursu)</w:t>
      </w:r>
    </w:p>
    <w:p w14:paraId="1C75CA46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złożone</w:t>
      </w:r>
      <w:proofErr w:type="spellEnd"/>
    </w:p>
    <w:p w14:paraId="6DDD9BBF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lastRenderedPageBreak/>
        <w:t>ocenione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formalnie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pozytywnie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>/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negatywnie</w:t>
      </w:r>
      <w:proofErr w:type="spellEnd"/>
    </w:p>
    <w:p w14:paraId="69ACD0B1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ocenione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merytorycznie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pozytywnie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>/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negatywnie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</w:p>
    <w:p w14:paraId="25CEFC21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dofinansowane</w:t>
      </w:r>
      <w:proofErr w:type="spellEnd"/>
    </w:p>
    <w:p w14:paraId="10AB5210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w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trakcie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poprawy</w:t>
      </w:r>
      <w:proofErr w:type="spellEnd"/>
    </w:p>
    <w:p w14:paraId="1777DBA6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poprawione</w:t>
      </w:r>
      <w:proofErr w:type="spellEnd"/>
    </w:p>
    <w:p w14:paraId="0CE3EE2C" w14:textId="77777777" w:rsidR="0021053D" w:rsidRPr="00304C7F" w:rsidRDefault="0021053D" w:rsidP="0021053D">
      <w:p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</w:p>
    <w:p w14:paraId="3A1874FD" w14:textId="30B91D2D" w:rsidR="0021053D" w:rsidRDefault="0021053D" w:rsidP="00304C7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odblokowywania ofert do poprawy (pojedynczo i w pakietach) wraz z możliwością przekazania informacji o oczekiwanych zmianach, określaniem terminu na wprowadzenie zmian, sekcj</w:t>
      </w:r>
      <w:r w:rsidR="00665D89">
        <w:rPr>
          <w:rFonts w:cstheme="minorHAnsi"/>
          <w:bCs/>
          <w:sz w:val="24"/>
          <w:szCs w:val="22"/>
          <w:lang w:val="pl-PL" w:eastAsia="pl-PL"/>
        </w:rPr>
        <w:t>ach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wniosku odblokowywanych do edycji, 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ustalenia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możliwych 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do wprowadzenia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wartości 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aktualizowanego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budżetu </w:t>
      </w:r>
    </w:p>
    <w:p w14:paraId="2005C568" w14:textId="77777777" w:rsidR="00E21040" w:rsidRPr="00304C7F" w:rsidRDefault="00E21040" w:rsidP="00E21040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Wyszukiwanie złożonych ofert po: Tytule oferty, Nazwie oferenta, okresie złożenia oferty</w:t>
      </w:r>
    </w:p>
    <w:p w14:paraId="5D54F9F3" w14:textId="4A7A9FB8" w:rsidR="00E21040" w:rsidRPr="00E21040" w:rsidRDefault="00E21040" w:rsidP="00E21040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pobierania dokumentów rejestracyjnych oferentów z bazy KRS (Ministerstwa Sprawiedliwości) z poziomu systemu</w:t>
      </w:r>
    </w:p>
    <w:p w14:paraId="1D6B57EA" w14:textId="16749A1A" w:rsidR="0021053D" w:rsidRPr="00304C7F" w:rsidRDefault="00304C7F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3.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Grupa funkcjonalności - ocena formalna i merytoryczna</w:t>
      </w:r>
      <w:r w:rsidR="0021053D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ofert:</w:t>
      </w:r>
    </w:p>
    <w:p w14:paraId="6F8E67E1" w14:textId="77777777" w:rsidR="002655F0" w:rsidRDefault="00A903B2" w:rsidP="00304C7F">
      <w:pPr>
        <w:numPr>
          <w:ilvl w:val="0"/>
          <w:numId w:val="15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Ocena formalna i merytoryczna ofert on-line, możliwa do wykonania przez wielu użytkowników jednocześnie</w:t>
      </w:r>
    </w:p>
    <w:p w14:paraId="48A109F5" w14:textId="7DE269FB" w:rsidR="00665D89" w:rsidRPr="00304C7F" w:rsidRDefault="00665D89" w:rsidP="00304C7F">
      <w:pPr>
        <w:numPr>
          <w:ilvl w:val="0"/>
          <w:numId w:val="15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Możliwość włączenia dodatkowego etapu oceny – na zamówienie</w:t>
      </w:r>
    </w:p>
    <w:p w14:paraId="1B533A1C" w14:textId="526177E2" w:rsidR="002655F0" w:rsidRPr="00304C7F" w:rsidRDefault="002655F0" w:rsidP="00304C7F">
      <w:pPr>
        <w:numPr>
          <w:ilvl w:val="0"/>
          <w:numId w:val="15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włączania wybranym użytkownikom systemu podglądu ofert b</w:t>
      </w:r>
      <w:r w:rsidR="00665D89">
        <w:rPr>
          <w:rFonts w:cstheme="minorHAnsi"/>
          <w:bCs/>
          <w:sz w:val="24"/>
          <w:szCs w:val="22"/>
          <w:lang w:val="pl-PL" w:eastAsia="pl-PL"/>
        </w:rPr>
        <w:t>ez możliwości dokonywania oceny</w:t>
      </w:r>
    </w:p>
    <w:p w14:paraId="5BEB7320" w14:textId="0CACBFE5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składania oświadczeń 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>przez osoby oceniające, wydruk oświadczeń</w:t>
      </w:r>
    </w:p>
    <w:p w14:paraId="1355CC6A" w14:textId="77777777" w:rsidR="00665D89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ustawienia liczby ekspe</w:t>
      </w:r>
      <w:r w:rsidR="00665D89">
        <w:rPr>
          <w:rFonts w:cstheme="minorHAnsi"/>
          <w:bCs/>
          <w:sz w:val="24"/>
          <w:szCs w:val="22"/>
          <w:lang w:val="pl-PL" w:eastAsia="pl-PL"/>
        </w:rPr>
        <w:t>rtów oceniających jedną ofertę</w:t>
      </w:r>
    </w:p>
    <w:p w14:paraId="7788BC3E" w14:textId="7F219FD5" w:rsidR="002655F0" w:rsidRPr="00304C7F" w:rsidRDefault="00665D89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M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ożliwość ustawienia maksymalnej liczby ofert przyp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adających do oceny pojedynczej osobie oceniającej</w:t>
      </w:r>
    </w:p>
    <w:p w14:paraId="5FD4B458" w14:textId="6CD4D2F3" w:rsidR="00A903B2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losowego i manualne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go przydzielania ofert do oceny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2655F0" w:rsidRPr="00304C7F">
        <w:rPr>
          <w:rFonts w:cstheme="minorHAnsi"/>
          <w:bCs/>
          <w:sz w:val="24"/>
          <w:szCs w:val="22"/>
          <w:lang w:val="pl-PL" w:eastAsia="pl-PL"/>
        </w:rPr>
        <w:t>oraz filtrowania ofert przypisywanych do oceny wg sfer pożytku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 xml:space="preserve"> publicznego</w:t>
      </w:r>
      <w:r w:rsidR="002655F0" w:rsidRPr="00304C7F">
        <w:rPr>
          <w:rFonts w:cstheme="minorHAnsi"/>
          <w:bCs/>
          <w:sz w:val="24"/>
          <w:szCs w:val="22"/>
          <w:lang w:val="pl-PL" w:eastAsia="pl-PL"/>
        </w:rPr>
        <w:t xml:space="preserve"> i zadań wyodrębni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>onych w poszczególnych naborach</w:t>
      </w:r>
    </w:p>
    <w:p w14:paraId="3BADB2FB" w14:textId="7B2B1535" w:rsidR="00085E33" w:rsidRPr="00304C7F" w:rsidRDefault="00085E33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085E33">
        <w:rPr>
          <w:rFonts w:ascii="Helvetica" w:hAnsi="Helvetica" w:cs="Helvetica"/>
          <w:color w:val="1F497D"/>
          <w:sz w:val="18"/>
          <w:szCs w:val="18"/>
          <w:shd w:val="clear" w:color="auto" w:fill="FFFFFF"/>
          <w:lang w:val="pl-PL"/>
        </w:rPr>
        <w:t> </w:t>
      </w:r>
      <w:r w:rsidRPr="00654F85">
        <w:rPr>
          <w:rFonts w:cstheme="minorHAnsi"/>
          <w:bCs/>
          <w:sz w:val="24"/>
          <w:szCs w:val="22"/>
          <w:lang w:val="pl-PL" w:eastAsia="pl-PL"/>
        </w:rPr>
        <w:t>Możliwość podziału karty oceny formalnej na części, gdzie w przypadku niespełnienia jednego z warunków w części pierwszej nie jest wymagane uzupełnienie części drugiej.</w:t>
      </w:r>
    </w:p>
    <w:p w14:paraId="7E177A18" w14:textId="75F9F3C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wprowadzania do systemu kryteriów oceny formalnej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 z odpowiedziami: spełnia, nie spełnia, nie dotyczy, do poprawy</w:t>
      </w:r>
    </w:p>
    <w:p w14:paraId="65B3DAA9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wprowadzania do systemu kryteriów </w:t>
      </w:r>
      <w:bookmarkStart w:id="0" w:name="_GoBack"/>
      <w:bookmarkEnd w:id="0"/>
      <w:r w:rsidRPr="00304C7F">
        <w:rPr>
          <w:rFonts w:cstheme="minorHAnsi"/>
          <w:bCs/>
          <w:sz w:val="24"/>
          <w:szCs w:val="22"/>
          <w:lang w:val="pl-PL" w:eastAsia="pl-PL"/>
        </w:rPr>
        <w:t>oceny merytorycznej zgodnych z procedurami przyjętymi w jednostce; możliwość grupowania kryteriów merytorycznych w bloki; możliwość nadawani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a kryteriom wartości punktowych (w tym na skali nieciągłej)</w:t>
      </w:r>
    </w:p>
    <w:p w14:paraId="3FD86D9F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wprowadzania różnorodnych parametrów oceny m.in. liczba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osób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oceniających pojedynczą ofertę, minimalna/maksymalna wartość punktowa kryterium, minimalna wymagana do uzyskania oceny pozytywnej wartość punktowa </w:t>
      </w: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 xml:space="preserve">oceny, wartość różnicy w ocenie skutkująca koniecznością wprowadzenia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oceny rozstrzygającej i innych</w:t>
      </w:r>
    </w:p>
    <w:p w14:paraId="6CF239A3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Wyświetlanie ocenianej oferty i kryteriów oceny na jednym ekranie; kryteria oceny są widoczne niezależnie od przeglądanego fragmentu oferty</w:t>
      </w:r>
    </w:p>
    <w:p w14:paraId="239A09FE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wprowadzania przez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osoby oceniające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uzasadnień i komentarzy do oceny, które są włączane w treść karty oceny formalnej/merytorycznej</w:t>
      </w:r>
    </w:p>
    <w:p w14:paraId="677E1EC7" w14:textId="4087A455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odblokowywania dokonanej oceny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formalnej i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merytorycznej przez administratora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instytucji</w:t>
      </w:r>
    </w:p>
    <w:p w14:paraId="0399DB88" w14:textId="69968EA9" w:rsidR="0021053D" w:rsidRPr="00304C7F" w:rsidRDefault="0021053D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edycji oceny przez administratora instytucji</w:t>
      </w:r>
    </w:p>
    <w:p w14:paraId="2EB82600" w14:textId="2706146C" w:rsidR="0021053D" w:rsidRPr="00304C7F" w:rsidRDefault="0021053D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wymuszania statusu oceny niezależnie od statusu oceny wynikającego z ustaleń komisji oceny wniosków</w:t>
      </w:r>
    </w:p>
    <w:p w14:paraId="6C6F9966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publikowania do wiadomości oferentów kart oceny formalnej i merytorycznej</w:t>
      </w:r>
    </w:p>
    <w:p w14:paraId="105CC77B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wprowadzania przez poszczególnych ekspertów sugerowanej kwoty dofinansowania</w:t>
      </w:r>
    </w:p>
    <w:p w14:paraId="525D830A" w14:textId="66016A7B" w:rsidR="00064FEC" w:rsidRPr="00304C7F" w:rsidRDefault="00064FEC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wydruku zestawień roboczych umożliwiających konsultowanie wyników prac komisji z organem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decyzyjnym</w:t>
      </w:r>
    </w:p>
    <w:p w14:paraId="061FABFC" w14:textId="120264F6" w:rsidR="002655F0" w:rsidRPr="00304C7F" w:rsidRDefault="002655F0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wyświetlania karty oceny merytorycznej w różnych wariantach, m.in. z wyszczególnieniem sumy/średniej oceny każdego eksperta w danym kryterium, z podaniem sumy/śre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dniej łącznej oceny w kryterium</w:t>
      </w:r>
    </w:p>
    <w:p w14:paraId="01AE4F25" w14:textId="2CDAEE23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publikowania informacji o rozstrzygnięciu konkursu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 xml:space="preserve">przy zachowaniu pełnej </w:t>
      </w:r>
      <w:r w:rsidRPr="00304C7F">
        <w:rPr>
          <w:rFonts w:cstheme="minorHAnsi"/>
          <w:bCs/>
          <w:sz w:val="24"/>
          <w:szCs w:val="22"/>
          <w:lang w:val="pl-PL" w:eastAsia="pl-PL"/>
        </w:rPr>
        <w:t>kontrol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i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podmiotu organizującego konkurs</w:t>
      </w:r>
      <w:r w:rsidR="002655F0" w:rsidRPr="00304C7F">
        <w:rPr>
          <w:rFonts w:cstheme="minorHAnsi"/>
          <w:bCs/>
          <w:sz w:val="24"/>
          <w:szCs w:val="22"/>
          <w:lang w:val="pl-PL" w:eastAsia="pl-PL"/>
        </w:rPr>
        <w:t>, wraz z możliwością indywidualnego i grupowego komunikowania oferentom informacji nt. statusu oceny, decyzji o przyznaniu dofinansowania itp.</w:t>
      </w:r>
    </w:p>
    <w:p w14:paraId="171EE09D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zwracania oferty (sprawozdania) zawierającej błędy wraz z możliwością wskazania zakresu i pól do modyfikacji (np. na skutek popełnienia błędu formalnego z możliwością poprawy lub konieczności wprowadzenia zmiany wysokości dofinansowania i zakresu rzeczowego zadania)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 xml:space="preserve"> w wyznaczonym przez personel urzędu czasie</w:t>
      </w:r>
    </w:p>
    <w:p w14:paraId="00E7DFD4" w14:textId="137DCC1B" w:rsidR="0021053D" w:rsidRPr="00304C7F" w:rsidRDefault="00304C7F" w:rsidP="0021053D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4.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Grupa funkcjonalności - przygotowywanie</w:t>
      </w:r>
      <w:r w:rsidR="0021053D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umów:</w:t>
      </w:r>
    </w:p>
    <w:p w14:paraId="0B6765AB" w14:textId="63BE5B57" w:rsidR="0021053D" w:rsidRPr="00085E33" w:rsidRDefault="0021053D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085E33">
        <w:rPr>
          <w:rFonts w:cstheme="minorHAnsi"/>
          <w:bCs/>
          <w:sz w:val="24"/>
          <w:szCs w:val="22"/>
          <w:lang w:val="pl-PL" w:eastAsia="pl-PL"/>
        </w:rPr>
        <w:t>Możliwość implementacji w systemie dowolnego szablonu umowy – na zamówienie</w:t>
      </w:r>
    </w:p>
    <w:p w14:paraId="698687A5" w14:textId="37587988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Automatyczne, seryjne wypełnianie umów na realizację zadań na podstawie wstępnie wprowadzonych danych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operatora konkursu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i pożądanych parametrów umów (wszystkie części umowy wymagające wypełnienia po stronie zleceniodawcy są sparametryzowane – tj. do seryjnego wypełniania umów wystarczy wprowadzić je tylko raz</w:t>
      </w:r>
      <w:r w:rsidR="000A656E" w:rsidRPr="00304C7F">
        <w:rPr>
          <w:rFonts w:cstheme="minorHAnsi"/>
          <w:bCs/>
          <w:sz w:val="24"/>
          <w:szCs w:val="22"/>
          <w:lang w:val="pl-PL" w:eastAsia="pl-PL"/>
        </w:rPr>
        <w:t xml:space="preserve"> jako ustawienia systemu</w:t>
      </w:r>
      <w:r w:rsidRPr="00304C7F">
        <w:rPr>
          <w:rFonts w:cstheme="minorHAnsi"/>
          <w:bCs/>
          <w:sz w:val="24"/>
          <w:szCs w:val="22"/>
          <w:lang w:val="pl-PL" w:eastAsia="pl-PL"/>
        </w:rPr>
        <w:t>)</w:t>
      </w:r>
    </w:p>
    <w:p w14:paraId="690EA6A5" w14:textId="77777777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Automatyczne, seryjne wypełnianie umów (sprawozdań) na realizację zadań na podstawie danych zawartych w ofertach (dane formalne i finansowe)</w:t>
      </w:r>
    </w:p>
    <w:p w14:paraId="721C02BF" w14:textId="77777777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Możliwość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indywidualnej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edycji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umów</w:t>
      </w:r>
      <w:proofErr w:type="spellEnd"/>
    </w:p>
    <w:p w14:paraId="5C556CE2" w14:textId="77777777" w:rsidR="000714A1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>Możliwość</w:t>
      </w:r>
      <w:r w:rsidR="000714A1" w:rsidRPr="00304C7F">
        <w:rPr>
          <w:rFonts w:cstheme="minorHAnsi"/>
          <w:bCs/>
          <w:sz w:val="24"/>
          <w:szCs w:val="22"/>
          <w:lang w:val="pl-PL" w:eastAsia="pl-PL"/>
        </w:rPr>
        <w:t xml:space="preserve"> przygotowania aneksów do umów</w:t>
      </w:r>
    </w:p>
    <w:p w14:paraId="7C247D76" w14:textId="77777777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Informowani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e o statusie zleconego zadania</w:t>
      </w:r>
      <w:r w:rsidRPr="00304C7F">
        <w:rPr>
          <w:rFonts w:cstheme="minorHAnsi"/>
          <w:bCs/>
          <w:sz w:val="24"/>
          <w:szCs w:val="22"/>
          <w:lang w:val="pl-PL" w:eastAsia="pl-PL"/>
        </w:rPr>
        <w:t>:</w:t>
      </w:r>
    </w:p>
    <w:p w14:paraId="1EEE191F" w14:textId="77777777" w:rsidR="00A903B2" w:rsidRPr="00304C7F" w:rsidRDefault="00A903B2" w:rsidP="00304C7F">
      <w:pPr>
        <w:pStyle w:val="Akapitzlist"/>
        <w:numPr>
          <w:ilvl w:val="0"/>
          <w:numId w:val="16"/>
        </w:numPr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(na etapie negocjacji ostatecznego kształtu umów – tworzenie umów)</w:t>
      </w:r>
    </w:p>
    <w:p w14:paraId="2F467A7A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przygotowane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</w:p>
    <w:p w14:paraId="3DD56759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uzupełnione</w:t>
      </w:r>
      <w:proofErr w:type="spellEnd"/>
    </w:p>
    <w:p w14:paraId="3EEA90AE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do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podpisu</w:t>
      </w:r>
      <w:proofErr w:type="spellEnd"/>
    </w:p>
    <w:p w14:paraId="47BD4AC3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podpisane</w:t>
      </w:r>
      <w:proofErr w:type="spellEnd"/>
    </w:p>
    <w:p w14:paraId="43E9F5BA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niepodpisane</w:t>
      </w:r>
      <w:proofErr w:type="spellEnd"/>
    </w:p>
    <w:p w14:paraId="0184C714" w14:textId="77777777" w:rsidR="00A903B2" w:rsidRPr="00304C7F" w:rsidRDefault="00A903B2" w:rsidP="00304C7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(na etapie realizacji zadań – aneksowanie umów):</w:t>
      </w:r>
    </w:p>
    <w:p w14:paraId="5DD5E9F5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wygenerowane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</w:p>
    <w:p w14:paraId="727D55D6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do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podpisu</w:t>
      </w:r>
      <w:proofErr w:type="spellEnd"/>
    </w:p>
    <w:p w14:paraId="4D52E562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niepodpisane</w:t>
      </w:r>
      <w:proofErr w:type="spellEnd"/>
    </w:p>
    <w:p w14:paraId="0036B726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podpisane</w:t>
      </w:r>
      <w:proofErr w:type="spellEnd"/>
    </w:p>
    <w:p w14:paraId="710688E7" w14:textId="0B029B6F" w:rsidR="0021053D" w:rsidRPr="00304C7F" w:rsidRDefault="00304C7F" w:rsidP="00A903B2">
      <w:pPr>
        <w:spacing w:before="240"/>
        <w:ind w:left="426" w:hanging="426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5.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Grupa funkcjonalności - sprawozdawczość</w:t>
      </w:r>
      <w:r w:rsidR="0021053D" w:rsidRPr="00304C7F">
        <w:rPr>
          <w:rFonts w:cstheme="minorHAnsi"/>
          <w:b/>
          <w:bCs/>
          <w:sz w:val="24"/>
          <w:szCs w:val="22"/>
          <w:lang w:val="pl-PL" w:eastAsia="pl-PL"/>
        </w:rPr>
        <w:t>:</w:t>
      </w:r>
    </w:p>
    <w:p w14:paraId="1588B83C" w14:textId="08AF4249" w:rsidR="0021053D" w:rsidRPr="00304C7F" w:rsidRDefault="0021053D" w:rsidP="00304C7F">
      <w:pPr>
        <w:numPr>
          <w:ilvl w:val="0"/>
          <w:numId w:val="17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Informowanie o statusie zleconego zadania:</w:t>
      </w:r>
    </w:p>
    <w:p w14:paraId="3ABF2422" w14:textId="77777777" w:rsidR="0021053D" w:rsidRPr="00304C7F" w:rsidRDefault="0021053D" w:rsidP="00304C7F">
      <w:pPr>
        <w:pStyle w:val="Akapitzlist"/>
        <w:numPr>
          <w:ilvl w:val="0"/>
          <w:numId w:val="17"/>
        </w:numPr>
        <w:spacing w:before="240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(na etapie sprawozdawczości – tworzenie sprawozdań):</w:t>
      </w:r>
    </w:p>
    <w:p w14:paraId="51D9F10F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sprawozdania niezłożone (przygotowywane przez oferentów, ale formalnie niezłożone)</w:t>
      </w:r>
    </w:p>
    <w:p w14:paraId="3101BBF2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złożone</w:t>
      </w:r>
      <w:proofErr w:type="spellEnd"/>
    </w:p>
    <w:p w14:paraId="2A93F12E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do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poprawy</w:t>
      </w:r>
      <w:proofErr w:type="spellEnd"/>
    </w:p>
    <w:p w14:paraId="08984961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poprawione</w:t>
      </w:r>
      <w:proofErr w:type="spellEnd"/>
    </w:p>
    <w:p w14:paraId="5543D5A5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odrzucone</w:t>
      </w:r>
      <w:proofErr w:type="spellEnd"/>
    </w:p>
    <w:p w14:paraId="2667F8C1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przyjęte</w:t>
      </w:r>
      <w:proofErr w:type="spellEnd"/>
    </w:p>
    <w:p w14:paraId="19570748" w14:textId="77777777" w:rsidR="0021053D" w:rsidRPr="00304C7F" w:rsidRDefault="0021053D" w:rsidP="0021053D">
      <w:p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5E1B1C5E" w14:textId="77777777" w:rsidR="00A903B2" w:rsidRPr="00304C7F" w:rsidRDefault="00A903B2" w:rsidP="00304C7F">
      <w:pPr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wstępne wypełnianie formularza sprawozdania </w:t>
      </w:r>
    </w:p>
    <w:p w14:paraId="511C19BD" w14:textId="77777777" w:rsidR="00A903B2" w:rsidRPr="00304C7F" w:rsidRDefault="00A903B2" w:rsidP="00304C7F">
      <w:pPr>
        <w:numPr>
          <w:ilvl w:val="1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danymi formalnymi oferenta zweryfikowanymi na etapie składani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a oferty i podpisywania umowy,</w:t>
      </w:r>
    </w:p>
    <w:p w14:paraId="3E144E76" w14:textId="77777777" w:rsidR="00A903B2" w:rsidRPr="00304C7F" w:rsidRDefault="00A903B2" w:rsidP="00304C7F">
      <w:pPr>
        <w:numPr>
          <w:ilvl w:val="1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dany</w:t>
      </w:r>
      <w:r w:rsidR="000A656E" w:rsidRPr="00304C7F">
        <w:rPr>
          <w:rFonts w:cstheme="minorHAnsi"/>
          <w:bCs/>
          <w:sz w:val="24"/>
          <w:szCs w:val="22"/>
          <w:lang w:val="pl-PL" w:eastAsia="pl-PL"/>
        </w:rPr>
        <w:t>mi finansowymi z budżetu oferty</w:t>
      </w:r>
    </w:p>
    <w:p w14:paraId="4D00E330" w14:textId="1AF7521D" w:rsidR="00D55DA5" w:rsidRPr="00304C7F" w:rsidRDefault="002655F0" w:rsidP="00304C7F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sortowania wprowadzonych faktur/rachunków po dacie wystawienia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>i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 xml:space="preserve"> numerze pozycji kosztowej</w:t>
      </w:r>
    </w:p>
    <w:p w14:paraId="1D15DE68" w14:textId="77777777" w:rsidR="0021053D" w:rsidRPr="00304C7F" w:rsidRDefault="0021053D" w:rsidP="0021053D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319E1F43" w14:textId="77777777" w:rsidR="00D55DA5" w:rsidRPr="00304C7F" w:rsidRDefault="00A903B2" w:rsidP="00304C7F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Automatyczne przeprowadzanie operacji matematycznych w sprawozdaniu w tabelach z danymi finansowymi</w:t>
      </w:r>
    </w:p>
    <w:p w14:paraId="747F27F8" w14:textId="77777777" w:rsidR="00E43463" w:rsidRPr="00304C7F" w:rsidRDefault="00E43463" w:rsidP="00E43463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5FE9D31B" w14:textId="164D02A0" w:rsidR="00A903B2" w:rsidRPr="00304C7F" w:rsidRDefault="00D55DA5" w:rsidP="00304C7F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importowania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 xml:space="preserve">do sprawozdania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danych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>(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do zestawienia dokumentów finansowych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 xml:space="preserve">i </w:t>
      </w:r>
      <w:r w:rsidRPr="00304C7F">
        <w:rPr>
          <w:rFonts w:cstheme="minorHAnsi"/>
          <w:bCs/>
          <w:sz w:val="24"/>
          <w:szCs w:val="22"/>
          <w:lang w:val="pl-PL" w:eastAsia="pl-PL"/>
        </w:rPr>
        <w:t>wkładu rzeczowego/osobowego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>)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z wykorzystaniem arkusza kalkulacyjnego przygotowanego na udostępnionym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wzorze – na zamówienie</w:t>
      </w:r>
    </w:p>
    <w:p w14:paraId="2F26AD0A" w14:textId="77777777" w:rsidR="00D55DA5" w:rsidRPr="00304C7F" w:rsidRDefault="00D55DA5" w:rsidP="00D55DA5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2854AF31" w14:textId="30C6C00B" w:rsidR="000A656E" w:rsidRPr="00304C7F" w:rsidRDefault="00A903B2" w:rsidP="00304C7F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>Weryfikacja rachunkowej części spraw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ozdania względem zapisów umowy – na zamówienie</w:t>
      </w:r>
    </w:p>
    <w:p w14:paraId="53D1B25B" w14:textId="73625C4B" w:rsidR="00A903B2" w:rsidRPr="00304C7F" w:rsidRDefault="000A656E" w:rsidP="00304C7F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zaznaczanie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i wskazywanie wartości 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prz</w:t>
      </w:r>
      <w:r w:rsidRPr="00304C7F">
        <w:rPr>
          <w:rFonts w:cstheme="minorHAnsi"/>
          <w:bCs/>
          <w:sz w:val="24"/>
          <w:szCs w:val="22"/>
          <w:lang w:val="pl-PL" w:eastAsia="pl-PL"/>
        </w:rPr>
        <w:t>ekroczeń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 xml:space="preserve"> względem zapisów umowy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 pozycjach kosztorysu </w:t>
      </w:r>
    </w:p>
    <w:p w14:paraId="2EB438CF" w14:textId="77777777" w:rsidR="000A656E" w:rsidRPr="00304C7F" w:rsidRDefault="000A656E" w:rsidP="00304C7F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zaznaczanie niezgodnych z terminem realizacji zadania dat wystawienia dokumentów księgowych i dokonania zapłaty </w:t>
      </w:r>
    </w:p>
    <w:p w14:paraId="52F41851" w14:textId="77777777" w:rsidR="00A903B2" w:rsidRPr="00304C7F" w:rsidRDefault="00A903B2" w:rsidP="00304C7F">
      <w:pPr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 przypadku złożenia sprawozdania zawierającego błędy możliwość przekazania go oferentowi do poprawy, wraz z informacją o oczekiwanych zmianach; możliwość odblokowania wskazanych sekcji formularza przeznaczonych do poprawy</w:t>
      </w:r>
      <w:r w:rsidR="000A656E" w:rsidRPr="00304C7F">
        <w:rPr>
          <w:rFonts w:cstheme="minorHAnsi"/>
          <w:bCs/>
          <w:sz w:val="24"/>
          <w:szCs w:val="22"/>
          <w:lang w:val="pl-PL" w:eastAsia="pl-PL"/>
        </w:rPr>
        <w:t>; możliwość ograniczenia czasu na korektę sprawozdania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</w:p>
    <w:p w14:paraId="6EB54C1C" w14:textId="77777777" w:rsidR="00304C7F" w:rsidRPr="00085E33" w:rsidRDefault="00304C7F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</w:p>
    <w:p w14:paraId="4F470C6D" w14:textId="4B99A24B" w:rsidR="00304C7F" w:rsidRPr="00085E33" w:rsidRDefault="00282DA0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085E33">
        <w:rPr>
          <w:rFonts w:cstheme="minorHAnsi"/>
          <w:b/>
          <w:bCs/>
          <w:sz w:val="24"/>
          <w:szCs w:val="22"/>
          <w:lang w:val="pl-PL" w:eastAsia="pl-PL"/>
        </w:rPr>
        <w:t>Funkcjonalności</w:t>
      </w:r>
      <w:r w:rsidR="00304C7F" w:rsidRPr="00085E33">
        <w:rPr>
          <w:rFonts w:cstheme="minorHAnsi"/>
          <w:b/>
          <w:bCs/>
          <w:sz w:val="24"/>
          <w:szCs w:val="22"/>
          <w:lang w:val="pl-PL" w:eastAsia="pl-PL"/>
        </w:rPr>
        <w:t xml:space="preserve"> dodatkowe</w:t>
      </w:r>
    </w:p>
    <w:p w14:paraId="1C0869F2" w14:textId="3E9FF999" w:rsidR="00A903B2" w:rsidRPr="00085E33" w:rsidRDefault="00282DA0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 w:rsidR="00A903B2" w:rsidRPr="00085E33">
        <w:rPr>
          <w:rFonts w:cstheme="minorHAnsi"/>
          <w:b/>
          <w:bCs/>
          <w:sz w:val="24"/>
          <w:szCs w:val="22"/>
          <w:lang w:val="pl-PL" w:eastAsia="pl-PL"/>
        </w:rPr>
        <w:t xml:space="preserve"> komunika</w:t>
      </w:r>
      <w:r w:rsidRPr="00085E33">
        <w:rPr>
          <w:rFonts w:cstheme="minorHAnsi"/>
          <w:b/>
          <w:bCs/>
          <w:sz w:val="24"/>
          <w:szCs w:val="22"/>
          <w:lang w:val="pl-PL" w:eastAsia="pl-PL"/>
        </w:rPr>
        <w:t>cja i automatyzacja</w:t>
      </w:r>
    </w:p>
    <w:p w14:paraId="09D53C17" w14:textId="77777777" w:rsidR="00A903B2" w:rsidRPr="00304C7F" w:rsidRDefault="00A903B2" w:rsidP="00D55DA5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wysyłania korespondencji seryjnej do użytkowników systemu podzielonych na grupy urzędy/wydziały/konkursy oraz wewnątrz grup w sposób umożliwiający nadanie szybkiego komunikatu do dowolnej grupy użytkowników systemu (m.in. administratorzy w urzędach, personel konkursów, oferenci ze złożonymi/niezłożonymi ofertami, oferenci z oceną pozytywną/negatywną, do poprawy itd.)</w:t>
      </w:r>
    </w:p>
    <w:p w14:paraId="36C54F89" w14:textId="77777777" w:rsidR="00D55DA5" w:rsidRPr="00304C7F" w:rsidRDefault="00CC01EA" w:rsidP="00D55DA5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wysyłania korespondencji indywidulanej do poszczególnych oferentów</w:t>
      </w:r>
    </w:p>
    <w:p w14:paraId="0F096F54" w14:textId="4354971E" w:rsidR="00A903B2" w:rsidRPr="00304C7F" w:rsidRDefault="00D55DA5" w:rsidP="00D55DA5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wysyłanie automatycznych powiadomień o złożeniu oferty, </w:t>
      </w: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odblookowaniu</w:t>
      </w:r>
      <w:proofErr w:type="spellEnd"/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jej do poprawy, zmianie statusu umowy do Organizacji. 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Archiwizacja danych</w:t>
      </w:r>
    </w:p>
    <w:p w14:paraId="7800956C" w14:textId="77777777" w:rsidR="00A903B2" w:rsidRPr="00304C7F" w:rsidRDefault="00A903B2" w:rsidP="00D55DA5">
      <w:pPr>
        <w:pStyle w:val="Akapitzlist"/>
        <w:numPr>
          <w:ilvl w:val="1"/>
          <w:numId w:val="7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wszystkie dane dotyczące konkursów, oferty, umowy, sprawozdania i pozostała dokumentacja konkursowa jes</w:t>
      </w:r>
      <w:r w:rsidR="00CC01EA" w:rsidRPr="00304C7F">
        <w:rPr>
          <w:rFonts w:cstheme="minorHAnsi"/>
          <w:bCs/>
          <w:sz w:val="24"/>
          <w:szCs w:val="22"/>
          <w:lang w:val="pl-PL" w:eastAsia="pl-PL"/>
        </w:rPr>
        <w:t>t cały czas dostępna w systemie</w:t>
      </w:r>
    </w:p>
    <w:p w14:paraId="49713B02" w14:textId="77777777" w:rsidR="00A903B2" w:rsidRPr="00304C7F" w:rsidRDefault="00385602" w:rsidP="00A903B2">
      <w:pPr>
        <w:pStyle w:val="Akapitzlist"/>
        <w:numPr>
          <w:ilvl w:val="1"/>
          <w:numId w:val="7"/>
        </w:numPr>
        <w:spacing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t</w:t>
      </w:r>
      <w:r w:rsidR="00B7645A" w:rsidRPr="00304C7F">
        <w:rPr>
          <w:rFonts w:cstheme="minorHAnsi"/>
          <w:bCs/>
          <w:sz w:val="24"/>
          <w:szCs w:val="22"/>
          <w:lang w:val="pl-PL" w:eastAsia="pl-PL"/>
        </w:rPr>
        <w:t>worzenie kopii zapasowych min. j</w:t>
      </w:r>
      <w:r w:rsidRPr="00304C7F">
        <w:rPr>
          <w:rFonts w:cstheme="minorHAnsi"/>
          <w:bCs/>
          <w:sz w:val="24"/>
          <w:szCs w:val="22"/>
          <w:lang w:val="pl-PL" w:eastAsia="pl-PL"/>
        </w:rPr>
        <w:t>eden raz w ciągu doby</w:t>
      </w:r>
    </w:p>
    <w:p w14:paraId="17F18F6D" w14:textId="77777777" w:rsidR="00A903B2" w:rsidRPr="00304C7F" w:rsidRDefault="00385602" w:rsidP="00A903B2">
      <w:pPr>
        <w:pStyle w:val="Akapitzlist"/>
        <w:numPr>
          <w:ilvl w:val="1"/>
          <w:numId w:val="7"/>
        </w:numPr>
        <w:spacing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pobierania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dokument</w:t>
      </w:r>
      <w:r w:rsidRPr="00304C7F">
        <w:rPr>
          <w:rFonts w:cstheme="minorHAnsi"/>
          <w:bCs/>
          <w:sz w:val="24"/>
          <w:szCs w:val="22"/>
          <w:lang w:val="pl-PL" w:eastAsia="pl-PL"/>
        </w:rPr>
        <w:t>acji w dowolnej ilości, w dowolnym czasie</w:t>
      </w:r>
    </w:p>
    <w:p w14:paraId="2917F7F4" w14:textId="77777777" w:rsidR="00A903B2" w:rsidRPr="00304C7F" w:rsidRDefault="00A903B2" w:rsidP="00A903B2">
      <w:pPr>
        <w:pStyle w:val="Akapitzlist"/>
        <w:ind w:left="426" w:hanging="426"/>
        <w:rPr>
          <w:rFonts w:cstheme="minorHAnsi"/>
          <w:bCs/>
          <w:sz w:val="24"/>
          <w:szCs w:val="22"/>
          <w:lang w:val="pl-PL" w:eastAsia="pl-PL"/>
        </w:rPr>
      </w:pPr>
    </w:p>
    <w:p w14:paraId="17901DB1" w14:textId="707FD665" w:rsidR="00385602" w:rsidRPr="00304C7F" w:rsidRDefault="00282DA0" w:rsidP="00304C7F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>
        <w:rPr>
          <w:rFonts w:cstheme="minorHAnsi"/>
          <w:b/>
          <w:bCs/>
          <w:sz w:val="24"/>
          <w:szCs w:val="22"/>
          <w:lang w:val="pl-PL" w:eastAsia="pl-PL"/>
        </w:rPr>
        <w:t>Grupa funkcjonalności - szablony</w:t>
      </w:r>
      <w:r w:rsidR="00385602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dokumentów</w:t>
      </w:r>
    </w:p>
    <w:p w14:paraId="0ECFBECF" w14:textId="0D188231" w:rsidR="00A903B2" w:rsidRPr="00304C7F" w:rsidRDefault="00385602" w:rsidP="00304C7F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tworzenia 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dowolnej treści dokumentów zawierających dane przechowywane w systemie; dane są zagnieżdżane w treści dokumentu zgodnie z opracowanym przez użytkownika szablonem dokumentu (podobnie do tzw. korespondencji seryjnej)</w:t>
      </w:r>
      <w:r w:rsidR="005A725A" w:rsidRPr="00304C7F">
        <w:rPr>
          <w:rFonts w:cstheme="minorHAnsi"/>
          <w:bCs/>
          <w:sz w:val="24"/>
          <w:szCs w:val="22"/>
          <w:lang w:val="pl-PL" w:eastAsia="pl-PL"/>
        </w:rPr>
        <w:t xml:space="preserve"> np. list obecności, wykazów/rankingów, decyzji, dokumentów wewnętrznych urzędu itd.</w:t>
      </w:r>
    </w:p>
    <w:p w14:paraId="52D7C4D1" w14:textId="77777777" w:rsidR="002A2DB2" w:rsidRPr="00085E33" w:rsidRDefault="002A2DB2" w:rsidP="00A903B2">
      <w:pPr>
        <w:rPr>
          <w:rFonts w:cstheme="minorHAnsi"/>
          <w:sz w:val="24"/>
          <w:szCs w:val="22"/>
          <w:lang w:val="pl-PL"/>
        </w:rPr>
      </w:pPr>
    </w:p>
    <w:sectPr w:rsidR="002A2DB2" w:rsidRPr="0008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047"/>
    <w:multiLevelType w:val="hybridMultilevel"/>
    <w:tmpl w:val="76C25F88"/>
    <w:lvl w:ilvl="0" w:tplc="B524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678"/>
    <w:multiLevelType w:val="hybridMultilevel"/>
    <w:tmpl w:val="356E4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36"/>
    <w:multiLevelType w:val="hybridMultilevel"/>
    <w:tmpl w:val="EC1A1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C03E1F"/>
    <w:multiLevelType w:val="hybridMultilevel"/>
    <w:tmpl w:val="EFD0B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11E5"/>
    <w:multiLevelType w:val="hybridMultilevel"/>
    <w:tmpl w:val="B94085DA"/>
    <w:lvl w:ilvl="0" w:tplc="30FEEE6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1B62"/>
    <w:multiLevelType w:val="hybridMultilevel"/>
    <w:tmpl w:val="5E0C47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CFA"/>
    <w:multiLevelType w:val="hybridMultilevel"/>
    <w:tmpl w:val="A0A681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2A0F61"/>
    <w:multiLevelType w:val="hybridMultilevel"/>
    <w:tmpl w:val="82AEB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C5ACB"/>
    <w:multiLevelType w:val="multilevel"/>
    <w:tmpl w:val="B4443DC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64" w:hanging="62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1758" w:hanging="794"/>
      </w:pPr>
      <w:rPr>
        <w:rFonts w:hint="default"/>
        <w:b w:val="0"/>
        <w:lang w:val="pl-PL"/>
      </w:rPr>
    </w:lvl>
    <w:lvl w:ilvl="3">
      <w:start w:val="1"/>
      <w:numFmt w:val="lowerLetter"/>
      <w:pStyle w:val="Nagwek4"/>
      <w:lvlText w:val="%4)"/>
      <w:lvlJc w:val="left"/>
      <w:pPr>
        <w:ind w:left="2211" w:hanging="453"/>
      </w:pPr>
      <w:rPr>
        <w:rFonts w:hint="default"/>
        <w:b w:val="0"/>
      </w:rPr>
    </w:lvl>
    <w:lvl w:ilvl="4">
      <w:start w:val="1"/>
      <w:numFmt w:val="lowerRoman"/>
      <w:pStyle w:val="Nagwek5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bullet"/>
      <w:pStyle w:val="Nagwek6"/>
      <w:lvlText w:val=""/>
      <w:lvlJc w:val="left"/>
      <w:pPr>
        <w:ind w:left="3119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BF2A97"/>
    <w:multiLevelType w:val="hybridMultilevel"/>
    <w:tmpl w:val="F9A6F7E2"/>
    <w:lvl w:ilvl="0" w:tplc="7EF04A2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EBB"/>
    <w:multiLevelType w:val="hybridMultilevel"/>
    <w:tmpl w:val="A8FC6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3F1B"/>
    <w:multiLevelType w:val="hybridMultilevel"/>
    <w:tmpl w:val="53CC26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467BAA"/>
    <w:multiLevelType w:val="hybridMultilevel"/>
    <w:tmpl w:val="FDECE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514B4"/>
    <w:multiLevelType w:val="hybridMultilevel"/>
    <w:tmpl w:val="03261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29F"/>
    <w:multiLevelType w:val="hybridMultilevel"/>
    <w:tmpl w:val="BABC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E60DDD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981854"/>
    <w:multiLevelType w:val="hybridMultilevel"/>
    <w:tmpl w:val="2B7C8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126B0"/>
    <w:multiLevelType w:val="hybridMultilevel"/>
    <w:tmpl w:val="C8B6A0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637E6F"/>
    <w:multiLevelType w:val="hybridMultilevel"/>
    <w:tmpl w:val="76B2E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2352"/>
    <w:multiLevelType w:val="hybridMultilevel"/>
    <w:tmpl w:val="8EF6209C"/>
    <w:lvl w:ilvl="0" w:tplc="A08CC7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13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2"/>
    <w:rsid w:val="00060194"/>
    <w:rsid w:val="00064FEC"/>
    <w:rsid w:val="000714A1"/>
    <w:rsid w:val="00085E33"/>
    <w:rsid w:val="000A634E"/>
    <w:rsid w:val="000A656E"/>
    <w:rsid w:val="00123E3D"/>
    <w:rsid w:val="00150FCD"/>
    <w:rsid w:val="001F2C81"/>
    <w:rsid w:val="0021053D"/>
    <w:rsid w:val="002655F0"/>
    <w:rsid w:val="00282DA0"/>
    <w:rsid w:val="002A2DB2"/>
    <w:rsid w:val="00304C7F"/>
    <w:rsid w:val="00382ABB"/>
    <w:rsid w:val="00385602"/>
    <w:rsid w:val="004865E5"/>
    <w:rsid w:val="005A725A"/>
    <w:rsid w:val="005A7BA0"/>
    <w:rsid w:val="005B153A"/>
    <w:rsid w:val="005F659D"/>
    <w:rsid w:val="00654F85"/>
    <w:rsid w:val="00665D89"/>
    <w:rsid w:val="0074174A"/>
    <w:rsid w:val="00776570"/>
    <w:rsid w:val="0084453A"/>
    <w:rsid w:val="00A617DF"/>
    <w:rsid w:val="00A903B2"/>
    <w:rsid w:val="00B7645A"/>
    <w:rsid w:val="00BF4434"/>
    <w:rsid w:val="00BF4853"/>
    <w:rsid w:val="00C40E63"/>
    <w:rsid w:val="00CA4CA3"/>
    <w:rsid w:val="00CC01EA"/>
    <w:rsid w:val="00D55DA5"/>
    <w:rsid w:val="00E21040"/>
    <w:rsid w:val="00E43463"/>
    <w:rsid w:val="00EA63A3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C59A"/>
  <w15:docId w15:val="{4207AB8F-15FC-449D-B24B-54A3CC3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3B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Nagwek1">
    <w:name w:val="heading 1"/>
    <w:basedOn w:val="Normalny"/>
    <w:link w:val="Nagwek1Znak"/>
    <w:qFormat/>
    <w:rsid w:val="002A2DB2"/>
    <w:pPr>
      <w:numPr>
        <w:numId w:val="1"/>
      </w:numPr>
      <w:spacing w:before="120" w:after="120"/>
      <w:jc w:val="both"/>
      <w:outlineLvl w:val="0"/>
    </w:pPr>
    <w:rPr>
      <w:rFonts w:ascii="Arial" w:eastAsia="Times New Roman" w:hAnsi="Arial" w:cs="Arial"/>
      <w:b/>
      <w:color w:val="000000"/>
    </w:rPr>
  </w:style>
  <w:style w:type="paragraph" w:styleId="Nagwek2">
    <w:name w:val="heading 2"/>
    <w:basedOn w:val="Nagwek1"/>
    <w:link w:val="Nagwek2Znak1"/>
    <w:qFormat/>
    <w:rsid w:val="002A2DB2"/>
    <w:pPr>
      <w:numPr>
        <w:ilvl w:val="1"/>
      </w:numPr>
      <w:spacing w:before="0" w:after="0"/>
      <w:outlineLvl w:val="1"/>
    </w:pPr>
  </w:style>
  <w:style w:type="paragraph" w:styleId="Nagwek3">
    <w:name w:val="heading 3"/>
    <w:basedOn w:val="Nagwek2"/>
    <w:link w:val="Nagwek3Znak"/>
    <w:qFormat/>
    <w:rsid w:val="002A2DB2"/>
    <w:pPr>
      <w:numPr>
        <w:ilvl w:val="2"/>
      </w:numPr>
      <w:tabs>
        <w:tab w:val="num" w:pos="360"/>
      </w:tabs>
      <w:outlineLvl w:val="2"/>
    </w:pPr>
    <w:rPr>
      <w:b w:val="0"/>
    </w:rPr>
  </w:style>
  <w:style w:type="paragraph" w:styleId="Nagwek4">
    <w:name w:val="heading 4"/>
    <w:basedOn w:val="Normalny"/>
    <w:link w:val="Nagwek4Znak"/>
    <w:uiPriority w:val="9"/>
    <w:unhideWhenUsed/>
    <w:qFormat/>
    <w:rsid w:val="002A2DB2"/>
    <w:pPr>
      <w:keepNext/>
      <w:keepLines/>
      <w:numPr>
        <w:ilvl w:val="3"/>
        <w:numId w:val="1"/>
      </w:numPr>
      <w:spacing w:after="0"/>
      <w:jc w:val="both"/>
      <w:outlineLvl w:val="3"/>
    </w:pPr>
    <w:rPr>
      <w:rFonts w:ascii="Arial" w:eastAsiaTheme="majorEastAsia" w:hAnsi="Arial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2A2DB2"/>
    <w:pPr>
      <w:keepNext/>
      <w:keepLines/>
      <w:numPr>
        <w:ilvl w:val="4"/>
        <w:numId w:val="1"/>
      </w:numPr>
      <w:spacing w:after="0"/>
      <w:jc w:val="both"/>
      <w:outlineLvl w:val="4"/>
    </w:pPr>
    <w:rPr>
      <w:rFonts w:ascii="Arial" w:eastAsiaTheme="majorEastAsia" w:hAnsi="Arial" w:cstheme="majorBidi"/>
    </w:rPr>
  </w:style>
  <w:style w:type="paragraph" w:styleId="Nagwek6">
    <w:name w:val="heading 6"/>
    <w:basedOn w:val="Nagwek5"/>
    <w:link w:val="Nagwek6Znak"/>
    <w:uiPriority w:val="9"/>
    <w:unhideWhenUsed/>
    <w:qFormat/>
    <w:rsid w:val="002A2DB2"/>
    <w:pPr>
      <w:numPr>
        <w:ilvl w:val="5"/>
      </w:numPr>
      <w:spacing w:before="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DB2"/>
    <w:rPr>
      <w:rFonts w:ascii="Arial" w:eastAsia="Times New Roman" w:hAnsi="Arial" w:cs="Arial"/>
      <w:b/>
      <w:color w:val="000000"/>
    </w:rPr>
  </w:style>
  <w:style w:type="character" w:customStyle="1" w:styleId="Nagwek2Znak">
    <w:name w:val="Nagłówek 2 Znak"/>
    <w:basedOn w:val="Domylnaczcionkaakapitu"/>
    <w:uiPriority w:val="9"/>
    <w:semiHidden/>
    <w:rsid w:val="002A2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A2DB2"/>
    <w:rPr>
      <w:rFonts w:ascii="Arial" w:eastAsia="Times New Roman" w:hAnsi="Arial" w:cs="Arial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2A2DB2"/>
    <w:rPr>
      <w:rFonts w:ascii="Arial" w:eastAsiaTheme="majorEastAsia" w:hAnsi="Arial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2A2DB2"/>
    <w:rPr>
      <w:rFonts w:ascii="Arial" w:eastAsiaTheme="majorEastAsia" w:hAnsi="Arial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2A2DB2"/>
    <w:rPr>
      <w:rFonts w:ascii="Arial" w:eastAsiaTheme="majorEastAsia" w:hAnsi="Arial" w:cstheme="majorBidi"/>
    </w:rPr>
  </w:style>
  <w:style w:type="character" w:customStyle="1" w:styleId="Nagwek2Znak1">
    <w:name w:val="Nagłówek 2 Znak1"/>
    <w:link w:val="Nagwek2"/>
    <w:rsid w:val="002A2DB2"/>
    <w:rPr>
      <w:rFonts w:ascii="Arial" w:eastAsia="Times New Roman" w:hAnsi="Arial" w:cs="Arial"/>
      <w:b/>
      <w:color w:val="000000"/>
    </w:rPr>
  </w:style>
  <w:style w:type="paragraph" w:styleId="Akapitzlist">
    <w:name w:val="List Paragraph"/>
    <w:basedOn w:val="Normalny"/>
    <w:uiPriority w:val="34"/>
    <w:qFormat/>
    <w:rsid w:val="00A903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BA0"/>
    <w:rPr>
      <w:rFonts w:eastAsiaTheme="minorEastAsia"/>
      <w:sz w:val="20"/>
      <w:szCs w:val="2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BA0"/>
    <w:rPr>
      <w:rFonts w:eastAsiaTheme="minorEastAsia"/>
      <w:b/>
      <w:bCs/>
      <w:sz w:val="20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A0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FD89-EC0E-4E18-BC82-351FA233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Basarab</dc:creator>
  <cp:lastModifiedBy>Jacek Bartczak</cp:lastModifiedBy>
  <cp:revision>5</cp:revision>
  <cp:lastPrinted>2024-05-15T10:13:00Z</cp:lastPrinted>
  <dcterms:created xsi:type="dcterms:W3CDTF">2018-06-14T11:45:00Z</dcterms:created>
  <dcterms:modified xsi:type="dcterms:W3CDTF">2024-05-15T11:09:00Z</dcterms:modified>
</cp:coreProperties>
</file>