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481087">
        <w:rPr>
          <w:rFonts w:ascii="Arial" w:hAnsi="Arial" w:cs="Arial"/>
          <w:sz w:val="20"/>
          <w:szCs w:val="20"/>
        </w:rPr>
        <w:t>22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11023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11023" w:rsidRPr="00811023">
        <w:rPr>
          <w:rFonts w:ascii="Arial" w:hAnsi="Arial" w:cs="Arial"/>
          <w:bCs/>
          <w:sz w:val="20"/>
          <w:szCs w:val="20"/>
        </w:rPr>
        <w:t>Opracowanie studium wykonalności dla potrzeb ubiegania się o środki UE na zakup elektrycznych zespołów trakcyjnych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811023" w:rsidRPr="0050683B" w:rsidRDefault="00811023" w:rsidP="001C39CD">
      <w:pPr>
        <w:rPr>
          <w:rFonts w:ascii="Arial" w:hAnsi="Arial" w:cs="Arial"/>
          <w:sz w:val="20"/>
          <w:szCs w:val="20"/>
        </w:rPr>
      </w:pPr>
    </w:p>
    <w:p w:rsidR="00811023" w:rsidRPr="0050683B" w:rsidRDefault="00811023" w:rsidP="00811023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 w:rsidR="00481087">
        <w:rPr>
          <w:rFonts w:ascii="Arial" w:hAnsi="Arial" w:cs="Arial"/>
          <w:b/>
          <w:sz w:val="20"/>
          <w:szCs w:val="20"/>
        </w:rPr>
        <w:t>1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481087" w:rsidRP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 xml:space="preserve">Szanowni Państwo, w związku z prowadzonym postępowaniem, zwracamy się z uprzejmą prośbą o zmianę warunków udziału w postępowaniu w części dotyczącej wymogu doświadczenia w opracowaniu dokumentacji (Studium Wykonalności oraz analiz finansowo-ekonomicznych) wyłącznie dla inwestycji w sektorze transportu kolejowego. Zdaniem Oferenta, tak sformułowany zapis stanowi nieuzasadnione zawężenie konkurencji, które może prowadzić do ograniczenia liczby potencjalnych wykonawców, a w konsekwencji – nieefektywnego wykorzystania środków publicznych. </w:t>
      </w:r>
    </w:p>
    <w:p w:rsidR="00481087" w:rsidRP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 xml:space="preserve">Uzasadnienie: </w:t>
      </w:r>
    </w:p>
    <w:p w:rsidR="00481087" w:rsidRP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>1.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 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Podobieństwo procesów analitycznych w różnych gałęziach transportu Przygotowanie dokumentów takich jak Studium Wykonalności czy analizy finansowo-ekonomiczne wymaga zastosowania jednolitych metodyk i narzędzi (np. wytycznych JASPERS, metodologii CBA – </w:t>
      </w:r>
      <w:proofErr w:type="spellStart"/>
      <w:r w:rsidRPr="00481087">
        <w:rPr>
          <w:rFonts w:ascii="Arial" w:hAnsi="Arial" w:cs="Arial"/>
          <w:sz w:val="20"/>
          <w:szCs w:val="20"/>
        </w:rPr>
        <w:t>Cost</w:t>
      </w:r>
      <w:proofErr w:type="spellEnd"/>
      <w:r w:rsidRPr="00481087">
        <w:rPr>
          <w:rFonts w:ascii="Arial" w:hAnsi="Arial" w:cs="Arial"/>
          <w:sz w:val="20"/>
          <w:szCs w:val="20"/>
        </w:rPr>
        <w:t xml:space="preserve">-Benefit Analysis, wytycznych krajowych i unijnych), niezależnie od rodzaju środka transportu. Różnice pomiędzy inwestycjami kolejowymi a np. inwestycjami w transport autobusowy lub miejski transport zbiorowy dotyczą w głównej mierze charakterystyki technicznej projektu, natomiast logika opracowania, proces analizy oraz sposób oceny efektywności ekonomicznej i finansowej pozostają takie same. </w:t>
      </w:r>
    </w:p>
    <w:p w:rsidR="00481087" w:rsidRP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>2.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 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Zasada proporcjonalności i uczciwej konkurencji Prawo zamówień publicznych oraz zasady wynikające z dyrektyw UE wymagają, aby warunki udziału w postępowaniu były proporcjonalne do przedmiotu zamówienia i nie ograniczały nieuzasadnionej konkurencji. Wymóg posiadania doświadczenia wyłącznie w sektorze kolejowym eliminuje wielu potencjalnych wykonawców, którzy dysponują bogatym dorobkiem w zakresie opracowywania analogicznej dokumentacji dla projektów transportu zbiorowego – miejskiego, drogowego czy autobusowego – a ich wiedza i kompetencje w pełni pozwalają na prawidłową realizację zamówienia. </w:t>
      </w:r>
    </w:p>
    <w:p w:rsidR="00481087" w:rsidRP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>3.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 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Doświadczenie międzysektorowe jako wartość dodana Uwzględnienie doświadczenia w różnych gałęziach transportu może wnieść do opracowania dokumentacji szerszą perspektywę porównawczą, co może przełożyć się na wyższy poziom jakości opracowywanych analiz. Projekty transportowe coraz częściej rozpatrywane są w kontekście intermodalności i synergii między różnymi środkami transportu. Ograniczenie wymogu wyłącznie do kolei stoi w sprzeczności z tym podejściem. </w:t>
      </w:r>
    </w:p>
    <w:p w:rsidR="00481087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 w:rsidRPr="00481087">
        <w:rPr>
          <w:rFonts w:ascii="Arial" w:hAnsi="Arial" w:cs="Arial"/>
          <w:sz w:val="20"/>
          <w:szCs w:val="20"/>
        </w:rPr>
        <w:t>4.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 </w:t>
      </w:r>
      <w:r w:rsidRPr="00481087">
        <w:rPr>
          <w:rFonts w:ascii="Tahoma" w:hAnsi="Tahoma" w:cs="Tahoma"/>
          <w:sz w:val="20"/>
          <w:szCs w:val="20"/>
        </w:rPr>
        <w:t>⁠</w:t>
      </w:r>
      <w:r w:rsidRPr="00481087">
        <w:rPr>
          <w:rFonts w:ascii="Arial" w:hAnsi="Arial" w:cs="Arial"/>
          <w:sz w:val="20"/>
          <w:szCs w:val="20"/>
        </w:rPr>
        <w:t xml:space="preserve">Efektywność wydatkowania środków publicznych Im większa konkurencja w postępowaniu, tym większa szansa na uzyskanie korzystniejszych warunków realizacji zamówienia. Obecne zawężenie do sektora kolejowego prowadzi do sztucznego ograniczenia liczby podmiotów zdolnych do złożenia oferty. Mając na uwadze powyższe, proponujemy, aby w opisie warunku doświadczenia dopuścić również opracowywanie dokumentacji (Studium Wykonalności oraz analiz finansowo-ekonomicznych) dla inwestycji w sektorze transportu zbiorowego, niezależnie od rodzaju środka transportu (kolej, autobus, tramwaj, trolejbus, metro itp.). Taka modyfikacja warunku nie obniży jakości merytorycznej wymaganego doświadczenia, a jednocześnie poszerzy krąg potencjalnych wykonawców, zapewniając większą konkurencyjność postępowania i racjonalność wydatkowania środków publicznych. </w:t>
      </w:r>
      <w:r w:rsidRPr="00481087">
        <w:rPr>
          <w:rFonts w:ascii="Arial" w:hAnsi="Arial" w:cs="Arial"/>
          <w:sz w:val="20"/>
          <w:szCs w:val="20"/>
        </w:rPr>
        <w:lastRenderedPageBreak/>
        <w:t>Jednocześnie, zwracamy się z prośbą o wyjaśnienie, czy kryterium "Doświadczenie Wykonawcy" odnosi się do liczby opracowanych Studiów Wykonalności czy analiz kosztów i korzyści.</w:t>
      </w:r>
    </w:p>
    <w:p w:rsidR="00481087" w:rsidRDefault="00481087" w:rsidP="00481087">
      <w:pPr>
        <w:spacing w:after="0"/>
        <w:rPr>
          <w:rFonts w:ascii="Arial" w:hAnsi="Arial" w:cs="Arial"/>
          <w:b/>
          <w:sz w:val="20"/>
          <w:szCs w:val="20"/>
        </w:rPr>
      </w:pPr>
    </w:p>
    <w:p w:rsidR="00811023" w:rsidRPr="0050683B" w:rsidRDefault="00811023" w:rsidP="00481087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1C39CD" w:rsidRDefault="00811023" w:rsidP="00811023">
      <w:pPr>
        <w:spacing w:after="0"/>
        <w:rPr>
          <w:rFonts w:ascii="Arial" w:hAnsi="Arial" w:cs="Arial"/>
          <w:sz w:val="20"/>
          <w:szCs w:val="20"/>
        </w:rPr>
      </w:pPr>
      <w:r w:rsidRPr="00811023">
        <w:rPr>
          <w:rFonts w:ascii="Arial" w:hAnsi="Arial" w:cs="Arial"/>
          <w:sz w:val="20"/>
          <w:szCs w:val="20"/>
        </w:rPr>
        <w:t>Zamawiający podtrzymuje dotychczasowe zapisy w tym zakresie</w:t>
      </w:r>
      <w:r w:rsidR="00481087">
        <w:rPr>
          <w:rFonts w:ascii="Arial" w:hAnsi="Arial" w:cs="Arial"/>
          <w:sz w:val="20"/>
          <w:szCs w:val="20"/>
        </w:rPr>
        <w:t>.</w:t>
      </w:r>
    </w:p>
    <w:p w:rsidR="00481087" w:rsidRPr="0050683B" w:rsidRDefault="00481087" w:rsidP="0048108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j</w:t>
      </w:r>
      <w:r w:rsidRPr="00481087">
        <w:rPr>
          <w:rFonts w:ascii="Arial" w:hAnsi="Arial" w:cs="Arial"/>
          <w:sz w:val="20"/>
          <w:szCs w:val="20"/>
        </w:rPr>
        <w:t>ednocześnie wyjaśnia, że kryterium „Doświadczenie Wykonawcy” odnosi się do liczby studiów wykonalności zrealizowanych w sektorze transportu kolejowego ponad minimum wymagane w warunkach udziału.</w:t>
      </w:r>
    </w:p>
    <w:sectPr w:rsidR="00481087" w:rsidRPr="0050683B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481087"/>
    <w:rsid w:val="0050683B"/>
    <w:rsid w:val="00562D28"/>
    <w:rsid w:val="00811023"/>
    <w:rsid w:val="008A448A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ABB6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13</cp:revision>
  <cp:lastPrinted>2024-05-08T07:39:00Z</cp:lastPrinted>
  <dcterms:created xsi:type="dcterms:W3CDTF">2024-05-08T07:33:00Z</dcterms:created>
  <dcterms:modified xsi:type="dcterms:W3CDTF">2025-09-22T12:35:00Z</dcterms:modified>
</cp:coreProperties>
</file>